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33D05" w14:textId="77777777" w:rsidR="009E364A" w:rsidRDefault="001E3669" w:rsidP="009D0472">
      <w:pPr>
        <w:pStyle w:val="KeinLeerraum"/>
        <w:spacing w:line="360" w:lineRule="auto"/>
        <w:rPr>
          <w:rFonts w:cs="Calibri"/>
          <w:b/>
          <w:sz w:val="28"/>
          <w:szCs w:val="28"/>
        </w:rPr>
      </w:pPr>
      <w:r>
        <w:rPr>
          <w:rFonts w:cs="Calibri"/>
          <w:b/>
          <w:sz w:val="28"/>
          <w:szCs w:val="28"/>
        </w:rPr>
        <w:t>Jesaja</w:t>
      </w:r>
      <w:r w:rsidRPr="00781300">
        <w:rPr>
          <w:rFonts w:cs="Calibri"/>
          <w:b/>
          <w:sz w:val="28"/>
          <w:szCs w:val="28"/>
        </w:rPr>
        <w:t xml:space="preserve"> – Teil </w:t>
      </w:r>
      <w:r>
        <w:rPr>
          <w:rFonts w:cs="Calibri"/>
          <w:b/>
          <w:sz w:val="28"/>
          <w:szCs w:val="28"/>
        </w:rPr>
        <w:t xml:space="preserve">2 </w:t>
      </w:r>
    </w:p>
    <w:p w14:paraId="1EF9E8D4" w14:textId="43F3017E" w:rsidR="009856FA" w:rsidRPr="00093385" w:rsidRDefault="009856FA" w:rsidP="009856FA">
      <w:pPr>
        <w:pStyle w:val="KeinLeerraum"/>
        <w:spacing w:line="360" w:lineRule="auto"/>
        <w:rPr>
          <w:b/>
        </w:rPr>
      </w:pPr>
      <w:r w:rsidRPr="00093385">
        <w:rPr>
          <w:b/>
        </w:rPr>
        <w:t>Prophetie – ein Bedürfnis des Menschen</w:t>
      </w:r>
      <w:r w:rsidR="00536E24">
        <w:rPr>
          <w:b/>
        </w:rPr>
        <w:t xml:space="preserve"> (</w:t>
      </w:r>
      <w:r w:rsidR="00031737">
        <w:rPr>
          <w:b/>
        </w:rPr>
        <w:t>Wichtigkeit der Prophetie für unser Wohlergehen)</w:t>
      </w:r>
    </w:p>
    <w:p w14:paraId="7465CF66" w14:textId="6D3C9CEF" w:rsidR="009856FA" w:rsidRDefault="009856FA" w:rsidP="009856FA">
      <w:pPr>
        <w:pStyle w:val="KeinLeerraum"/>
      </w:pPr>
      <w:r>
        <w:t>Gott hat den Menschen geschaffen, und in ihn somit ein Gott-Gen hineingepflanzt. Ohne Gott ist das Herz des Menschen leer. Nur Gott kann die Leere des Menschen füllen und befriedigen. Denken wir zurück an das Predigerbuch das genau diese Botschaft für alle Menschen hat! Der Mensch sehnt sich danach, das Zukünftige zu wissen und das Unsichtbare zu fassen. Beides bietet Gott dem Menschen an durch sein Wort und seinen Hl. Geist!</w:t>
      </w:r>
    </w:p>
    <w:p w14:paraId="2594061F" w14:textId="3ABBA649" w:rsidR="009856FA" w:rsidRDefault="009856FA" w:rsidP="009856FA">
      <w:pPr>
        <w:pStyle w:val="KeinLeerraum"/>
      </w:pPr>
    </w:p>
    <w:p w14:paraId="63541E7A" w14:textId="0883ACB4" w:rsidR="008B0E07" w:rsidRDefault="009856FA" w:rsidP="009856FA">
      <w:pPr>
        <w:pStyle w:val="KeinLeerraum"/>
      </w:pPr>
      <w:r>
        <w:t>Seit jeher suchen die Menschen oft mit "unerlaubten Mitteln" die Zukunft vorherzusagen. Denken wir an den heidnischen Wahrsager Bileam der "gekauft" wurde, um das Volk Gottes zu verfluchen. Diese Wahrsager habe</w:t>
      </w:r>
      <w:r w:rsidR="00E77DA4">
        <w:t>n</w:t>
      </w:r>
      <w:r>
        <w:t xml:space="preserve"> </w:t>
      </w:r>
      <w:r w:rsidR="00E77DA4">
        <w:t>nach kanaanitischem Brauch</w:t>
      </w:r>
      <w:r>
        <w:t>, aus den Innereinen von Tieren die Zukunft interpretiert. Das heidnische Bestreben</w:t>
      </w:r>
      <w:r w:rsidR="00E77DA4">
        <w:t>,</w:t>
      </w:r>
      <w:r>
        <w:t xml:space="preserve"> die Zukunft zu erfahren </w:t>
      </w:r>
      <w:r w:rsidR="008B0E07">
        <w:t>grassiert</w:t>
      </w:r>
      <w:r>
        <w:t xml:space="preserve"> auch heute noch unter den Völkern. Denken wir an die zahllosen Horoskope,</w:t>
      </w:r>
      <w:r w:rsidR="008B0E07">
        <w:t xml:space="preserve"> Fernsehsendung</w:t>
      </w:r>
      <w:r w:rsidR="00D0711E">
        <w:t>en</w:t>
      </w:r>
      <w:r w:rsidR="008B0E07">
        <w:t xml:space="preserve"> mit Kartenlegen</w:t>
      </w:r>
      <w:r w:rsidR="00D0711E">
        <w:t>, Wahrsagen</w:t>
      </w:r>
      <w:r w:rsidR="008B0E07">
        <w:t xml:space="preserve"> </w:t>
      </w:r>
      <w:proofErr w:type="gramStart"/>
      <w:r w:rsidR="008B0E07">
        <w:t>usw..</w:t>
      </w:r>
      <w:proofErr w:type="gramEnd"/>
      <w:r w:rsidR="008B0E07">
        <w:t xml:space="preserve"> Denken wir an das Zürcher Sechseläuten</w:t>
      </w:r>
      <w:r>
        <w:t xml:space="preserve"> </w:t>
      </w:r>
      <w:r w:rsidR="008B0E07">
        <w:t xml:space="preserve">wo dieser Böögg abgebrannt wird. Je schneller der mit </w:t>
      </w:r>
      <w:hyperlink r:id="rId8" w:tooltip="Knallkörper" w:history="1">
        <w:r w:rsidR="008B0E07" w:rsidRPr="008B0E07">
          <w:t>Knallkörpern</w:t>
        </w:r>
      </w:hyperlink>
      <w:r w:rsidR="008B0E07">
        <w:t xml:space="preserve"> gefüllte Böögg den Kopf verliert, desto schöner soll anschliessend der Sommer werden.</w:t>
      </w:r>
    </w:p>
    <w:p w14:paraId="0F016EAA" w14:textId="77777777" w:rsidR="008B0E07" w:rsidRDefault="008B0E07" w:rsidP="009856FA">
      <w:pPr>
        <w:pStyle w:val="KeinLeerraum"/>
      </w:pPr>
    </w:p>
    <w:p w14:paraId="4BE70763" w14:textId="757EB440" w:rsidR="009856FA" w:rsidRDefault="009856FA" w:rsidP="008B0E07">
      <w:pPr>
        <w:pStyle w:val="KeinLeerraum"/>
        <w:spacing w:line="360" w:lineRule="auto"/>
      </w:pPr>
      <w:r>
        <w:t>Das ist auch ein grosses Thema im Jesajabuch. Gott klagt sein Volk an</w:t>
      </w:r>
      <w:r w:rsidR="008B0E07">
        <w:t>:</w:t>
      </w:r>
    </w:p>
    <w:p w14:paraId="0742DD9C" w14:textId="0D6DAD90" w:rsidR="008B0E07" w:rsidRDefault="008B0E07" w:rsidP="009856FA">
      <w:pPr>
        <w:pStyle w:val="KeinLeerraum"/>
      </w:pPr>
      <w:r>
        <w:t>"</w:t>
      </w:r>
      <w:r>
        <w:rPr>
          <w:rStyle w:val="verse"/>
        </w:rPr>
        <w:t xml:space="preserve">Wenn sie euch aber sagen werden: </w:t>
      </w:r>
      <w:proofErr w:type="gramStart"/>
      <w:r>
        <w:rPr>
          <w:rStyle w:val="verse"/>
        </w:rPr>
        <w:t>Befragt</w:t>
      </w:r>
      <w:proofErr w:type="gramEnd"/>
      <w:r>
        <w:rPr>
          <w:rStyle w:val="verse"/>
        </w:rPr>
        <w:t xml:space="preserve"> die Totenbeschwörer und </w:t>
      </w:r>
      <w:r w:rsidRPr="00A02EA5">
        <w:rPr>
          <w:rStyle w:val="Fett"/>
          <w:b w:val="0"/>
        </w:rPr>
        <w:t>Wahrsager</w:t>
      </w:r>
      <w:r>
        <w:rPr>
          <w:rStyle w:val="verse"/>
        </w:rPr>
        <w:t>, die flüstern und murmeln! — [so antwortet ihnen]: Soll nicht ein Volk seinen Gott befragen, oder soll man die Toten für die Lebendigen befragen?</w:t>
      </w:r>
      <w:r>
        <w:t xml:space="preserve">" </w:t>
      </w:r>
      <w:r w:rsidRPr="008B0E07">
        <w:rPr>
          <w:b/>
        </w:rPr>
        <w:t>(</w:t>
      </w:r>
      <w:r>
        <w:rPr>
          <w:b/>
        </w:rPr>
        <w:t>Jes 8,19</w:t>
      </w:r>
      <w:r w:rsidRPr="008B0E07">
        <w:rPr>
          <w:b/>
        </w:rPr>
        <w:t>)</w:t>
      </w:r>
    </w:p>
    <w:p w14:paraId="21F0AEB9" w14:textId="6826DA2B" w:rsidR="008B0E07" w:rsidRDefault="008B0E07" w:rsidP="00E07D7B">
      <w:pPr>
        <w:pStyle w:val="KeinLeerraum"/>
        <w:rPr>
          <w:b/>
        </w:rPr>
      </w:pPr>
    </w:p>
    <w:p w14:paraId="358CA326" w14:textId="5DACDA7F" w:rsidR="00A02EA5" w:rsidRDefault="00A02EA5" w:rsidP="00E07D7B">
      <w:pPr>
        <w:pStyle w:val="KeinLeerraum"/>
      </w:pPr>
      <w:r>
        <w:t xml:space="preserve">Im Studieren und </w:t>
      </w:r>
      <w:r w:rsidR="00D0711E">
        <w:t>E</w:t>
      </w:r>
      <w:r>
        <w:t xml:space="preserve">rforschen der biblischen Prophetie erfüllen wir den Willen Gottes. Unser Herz wird geistlich "befriedigt" und unsere Seele kommt vor unserem Gott zur Ruhe. Unser Glaube, unsere Zuversicht und unsere Hoffnung werden gestärkt und gewurzelt in Gott. Um Dietrich Bonhoeffer zu zitieren in seinem Lied "von </w:t>
      </w:r>
      <w:r w:rsidR="009D0472">
        <w:t>g</w:t>
      </w:r>
      <w:r>
        <w:t>uten Mächten wunderbar geborgen":</w:t>
      </w:r>
    </w:p>
    <w:p w14:paraId="6B5C03E2" w14:textId="440DD2B0" w:rsidR="00A02EA5" w:rsidRDefault="00A02EA5" w:rsidP="00E07D7B">
      <w:pPr>
        <w:pStyle w:val="KeinLeerraum"/>
      </w:pPr>
    </w:p>
    <w:p w14:paraId="61587ED4" w14:textId="7D993AB1" w:rsidR="00A02EA5" w:rsidRPr="00A02EA5" w:rsidRDefault="00A02EA5" w:rsidP="00E07D7B">
      <w:pPr>
        <w:pStyle w:val="KeinLeerraum"/>
      </w:pPr>
      <w:r>
        <w:t>Von guten Mächten wunderbar geborgen,</w:t>
      </w:r>
      <w:r>
        <w:br/>
        <w:t>erwarten wir getrost, was kommen mag.</w:t>
      </w:r>
      <w:r>
        <w:br/>
        <w:t>Gott ist bei uns am Abend und am Morgen</w:t>
      </w:r>
      <w:r>
        <w:br/>
        <w:t>und ganz gewiss an jedem neuen Tag.</w:t>
      </w:r>
    </w:p>
    <w:p w14:paraId="5242CFB3" w14:textId="77777777" w:rsidR="00A02EA5" w:rsidRDefault="00A02EA5" w:rsidP="00E07D7B">
      <w:pPr>
        <w:pStyle w:val="KeinLeerraum"/>
        <w:rPr>
          <w:b/>
        </w:rPr>
      </w:pPr>
    </w:p>
    <w:p w14:paraId="6F607C55" w14:textId="78C4175A" w:rsidR="00E07D7B" w:rsidRPr="00E07D7B" w:rsidRDefault="00E07D7B" w:rsidP="00E07D7B">
      <w:pPr>
        <w:pStyle w:val="KeinLeerraum"/>
      </w:pPr>
      <w:r w:rsidRPr="0076218B">
        <w:rPr>
          <w:b/>
        </w:rPr>
        <w:t>Rückblick:</w:t>
      </w:r>
      <w:r w:rsidRPr="00E07D7B">
        <w:t xml:space="preserve"> Übersicht: Jesajas prophetische Schau der Zeiten / Gesetz des doppelten Bezugs</w:t>
      </w:r>
    </w:p>
    <w:p w14:paraId="2515475C" w14:textId="21EA08C5" w:rsidR="00E07D7B" w:rsidRDefault="00E07D7B" w:rsidP="008B0F1F">
      <w:pPr>
        <w:pStyle w:val="KeinLeerraum"/>
      </w:pPr>
    </w:p>
    <w:p w14:paraId="2A5F34FA" w14:textId="7ECE7364" w:rsidR="00406CB8" w:rsidRDefault="00406CB8" w:rsidP="00406CB8">
      <w:pPr>
        <w:pStyle w:val="KeinLeerraum"/>
        <w:spacing w:line="360" w:lineRule="auto"/>
        <w:rPr>
          <w:b/>
        </w:rPr>
      </w:pPr>
      <w:r w:rsidRPr="00A75954">
        <w:rPr>
          <w:b/>
        </w:rPr>
        <w:t>Pflugscharen zu Schwertern | Schwerter zu Pflugscharen</w:t>
      </w:r>
    </w:p>
    <w:tbl>
      <w:tblPr>
        <w:tblStyle w:val="Tabellenraster"/>
        <w:tblW w:w="0" w:type="auto"/>
        <w:tblLook w:val="04A0" w:firstRow="1" w:lastRow="0" w:firstColumn="1" w:lastColumn="0" w:noHBand="0" w:noVBand="1"/>
      </w:tblPr>
      <w:tblGrid>
        <w:gridCol w:w="1555"/>
        <w:gridCol w:w="8469"/>
      </w:tblGrid>
      <w:tr w:rsidR="00406CB8" w14:paraId="08A42231" w14:textId="77777777" w:rsidTr="00406CB8">
        <w:tc>
          <w:tcPr>
            <w:tcW w:w="1555" w:type="dxa"/>
          </w:tcPr>
          <w:p w14:paraId="67C66BF0" w14:textId="1616E45E" w:rsidR="00406CB8" w:rsidRDefault="00406CB8" w:rsidP="008B0F1F">
            <w:pPr>
              <w:pStyle w:val="KeinLeerraum"/>
            </w:pPr>
            <w:r>
              <w:rPr>
                <w:b/>
              </w:rPr>
              <w:t>Micha 4,1-4</w:t>
            </w:r>
          </w:p>
        </w:tc>
        <w:tc>
          <w:tcPr>
            <w:tcW w:w="8469" w:type="dxa"/>
          </w:tcPr>
          <w:p w14:paraId="4700133F" w14:textId="77777777" w:rsidR="00406CB8" w:rsidRDefault="00406CB8" w:rsidP="00406CB8">
            <w:pPr>
              <w:pStyle w:val="KeinLeerraum"/>
            </w:pPr>
            <w:r w:rsidRPr="00A75954">
              <w:rPr>
                <w:shd w:val="clear" w:color="auto" w:fill="DEEBF7"/>
              </w:rPr>
              <w:t>"Doch es wird geschehen am Ende der Tage, da wird der Berg des Hauses des HERRN fest gegründet an der Spitze der Berge stehen und wird über alle Höhen erhaben sein, und Völker werden ihm zuströmen. 2 Und viele Heidenvölker werden hingehen und sagen: »Kommt, lasst uns hinaufziehen zum Berg des HERRN, zum Haus des Gottes Jakobs, damit er uns über seine Wege belehre und wir auf seinen Pfaden wandeln!« Denn von Zion wird das Gesetz ausgehen und das Wort des HERRN von Jerusalem. 3 Und er wird das Urteil sprechen zwischen großen Völkern und starke Nationen zurechtweisen, die weit weg wohnen, sodass sie ihre Schwerter zu Pflugscharen schmieden und ihre Spieße zu Rebmessern; kein Volk wird gegen das andere ein Schwert erheben, und sie werden den Krieg nicht mehr erlernen; 4 sondern jedermann wird unter seinem Weinstock und unter seinem Feigenbaum sitzen, und niemand wird ihn aufschrecken; denn der Mund des HERRN der Heerscharen hat es geredet!"</w:t>
            </w:r>
            <w:r>
              <w:t xml:space="preserve"> </w:t>
            </w:r>
          </w:p>
          <w:p w14:paraId="4227B6FF" w14:textId="77777777" w:rsidR="00406CB8" w:rsidRDefault="00406CB8" w:rsidP="008B0F1F">
            <w:pPr>
              <w:pStyle w:val="KeinLeerraum"/>
            </w:pPr>
          </w:p>
        </w:tc>
      </w:tr>
      <w:tr w:rsidR="00406CB8" w14:paraId="2900539D" w14:textId="77777777" w:rsidTr="00406CB8">
        <w:tc>
          <w:tcPr>
            <w:tcW w:w="1555" w:type="dxa"/>
          </w:tcPr>
          <w:p w14:paraId="1B0AB7E6" w14:textId="77ED22D4" w:rsidR="00406CB8" w:rsidRDefault="00406CB8" w:rsidP="008B0F1F">
            <w:pPr>
              <w:pStyle w:val="KeinLeerraum"/>
              <w:rPr>
                <w:b/>
              </w:rPr>
            </w:pPr>
            <w:r>
              <w:rPr>
                <w:b/>
              </w:rPr>
              <w:lastRenderedPageBreak/>
              <w:t>Jes 2,2-4</w:t>
            </w:r>
          </w:p>
        </w:tc>
        <w:tc>
          <w:tcPr>
            <w:tcW w:w="8469" w:type="dxa"/>
          </w:tcPr>
          <w:p w14:paraId="5568D9C8" w14:textId="77777777" w:rsidR="00406CB8" w:rsidRDefault="00406CB8" w:rsidP="00406CB8">
            <w:pPr>
              <w:pStyle w:val="KeinLeerraum"/>
            </w:pPr>
            <w:r w:rsidRPr="00A75954">
              <w:rPr>
                <w:shd w:val="clear" w:color="auto" w:fill="DEEBF7"/>
              </w:rPr>
              <w:t>"Ja, es wird geschehen am Ende der Tage, da wird der Berg des Hauses des HERRN fest gegründet stehen an der Spitze der Berge, und er wird erhaben sein über alle Höhen, und alle Heiden werden zu ihm strömen. 3 Und viele Völker werden hingehen und sagen: »Kommt, lasst uns hinaufziehen zum Berg des HERRN, zum Haus des Gottes Jakobs, damit er uns belehre über seine Wege und wir auf seinen Pfaden wandeln!« Denn von Zion wird das Gesetz ausgehen und das Wort des HERRN von Jerusalem. 4 Und er wird Recht sprechen zwischen den Heiden und viele Völker zurechtweisen, sodass sie ihre Schwerter zu Pflugscharen schmieden werden und ihre Speere zu Rebmessern; kein Volk wird gegen das andere das Schwert erheben, und sie werden den Krieg nicht mehr erlernen."</w:t>
            </w:r>
          </w:p>
          <w:p w14:paraId="053DA56F" w14:textId="2A45DE2B" w:rsidR="00406CB8" w:rsidRDefault="00406CB8" w:rsidP="00406CB8">
            <w:pPr>
              <w:pStyle w:val="KeinLeerraum"/>
            </w:pPr>
          </w:p>
        </w:tc>
      </w:tr>
      <w:tr w:rsidR="00406CB8" w14:paraId="5D6CD7B9" w14:textId="77777777" w:rsidTr="00406CB8">
        <w:tc>
          <w:tcPr>
            <w:tcW w:w="1555" w:type="dxa"/>
          </w:tcPr>
          <w:p w14:paraId="53F62BD5" w14:textId="2CDD02E2" w:rsidR="00406CB8" w:rsidRDefault="00A75954" w:rsidP="008B0F1F">
            <w:pPr>
              <w:pStyle w:val="KeinLeerraum"/>
              <w:rPr>
                <w:b/>
              </w:rPr>
            </w:pPr>
            <w:r>
              <w:rPr>
                <w:b/>
              </w:rPr>
              <w:t>Joel 4,9-12</w:t>
            </w:r>
          </w:p>
        </w:tc>
        <w:tc>
          <w:tcPr>
            <w:tcW w:w="8469" w:type="dxa"/>
          </w:tcPr>
          <w:p w14:paraId="378A37BA" w14:textId="77777777" w:rsidR="00406CB8" w:rsidRDefault="00A75954" w:rsidP="00406CB8">
            <w:pPr>
              <w:pStyle w:val="KeinLeerraum"/>
            </w:pPr>
            <w:r w:rsidRPr="00A75954">
              <w:rPr>
                <w:shd w:val="clear" w:color="auto" w:fill="FF4B00"/>
              </w:rPr>
              <w:t xml:space="preserve">"Ruft dies aus unter den Heidenvölkern, rüstet euch zum heiligen Krieg! </w:t>
            </w:r>
            <w:proofErr w:type="gramStart"/>
            <w:r w:rsidRPr="00A75954">
              <w:rPr>
                <w:shd w:val="clear" w:color="auto" w:fill="FF4B00"/>
              </w:rPr>
              <w:t>Weckt</w:t>
            </w:r>
            <w:proofErr w:type="gramEnd"/>
            <w:r w:rsidRPr="00A75954">
              <w:rPr>
                <w:shd w:val="clear" w:color="auto" w:fill="FF4B00"/>
              </w:rPr>
              <w:t xml:space="preserve"> die Helden auf! Alle Krieger sollen einrücken und hinaufziehen! 10 Schmiedet eure Pflugscharen zu Schwertern um und eure Rebmesser zu Spießen! Der Schwache spreche: Ich bin stark! 11 Eilt und kommt herbei, all ihr Heidenvölker ringsum, und versammelt euch! Dorthin führe, o HERR, deine Helden hinab! 12 Die Heidenvölker sollen sich aufmachen und in das Tal Josaphat hinaufziehen! Dort will ich zu Gericht sitzen über alle Heidenvölker ringsum."</w:t>
            </w:r>
          </w:p>
          <w:p w14:paraId="25FC5C47" w14:textId="49EA2B41" w:rsidR="00A75954" w:rsidRDefault="00A75954" w:rsidP="00406CB8">
            <w:pPr>
              <w:pStyle w:val="KeinLeerraum"/>
            </w:pPr>
          </w:p>
        </w:tc>
      </w:tr>
    </w:tbl>
    <w:p w14:paraId="3BF6F5DE" w14:textId="725F5D9A" w:rsidR="00406CB8" w:rsidRDefault="00406CB8" w:rsidP="008B0F1F">
      <w:pPr>
        <w:pStyle w:val="KeinLeerraum"/>
      </w:pPr>
    </w:p>
    <w:p w14:paraId="69896E4E" w14:textId="1403D7C5" w:rsidR="00E77DA4" w:rsidRDefault="00E77DA4" w:rsidP="00E77DA4">
      <w:pPr>
        <w:pStyle w:val="KeinLeerraum"/>
      </w:pPr>
      <w:r w:rsidRPr="00E77DA4">
        <w:t xml:space="preserve">Kriege sind </w:t>
      </w:r>
      <w:r w:rsidRPr="00E77DA4">
        <w:rPr>
          <w:iCs/>
        </w:rPr>
        <w:t>unnötig</w:t>
      </w:r>
      <w:r w:rsidR="005D3BD4">
        <w:rPr>
          <w:iCs/>
        </w:rPr>
        <w:t xml:space="preserve"> aber unvermeidbar, denn sie entspringen</w:t>
      </w:r>
      <w:r>
        <w:rPr>
          <w:iCs/>
        </w:rPr>
        <w:t xml:space="preserve"> der sündigen menschlichen Natur</w:t>
      </w:r>
      <w:r w:rsidRPr="00E77DA4">
        <w:t xml:space="preserve">. </w:t>
      </w:r>
      <w:r>
        <w:t>Was immer die Regierungen und Institutionen dieser Welt zur Vermeidung von Kriegen unternehmen, es wird nicht gelingen</w:t>
      </w:r>
      <w:r w:rsidRPr="00E77DA4">
        <w:t>, solange der sündige Mensch am Ruder ist.</w:t>
      </w:r>
    </w:p>
    <w:p w14:paraId="58599CDF" w14:textId="77777777" w:rsidR="00E77DA4" w:rsidRPr="00E77DA4" w:rsidRDefault="00E77DA4" w:rsidP="00E77DA4">
      <w:pPr>
        <w:pStyle w:val="KeinLeerraum"/>
        <w:rPr>
          <w:rFonts w:ascii="Times New Roman" w:hAnsi="Times New Roman"/>
          <w:szCs w:val="24"/>
          <w:lang w:eastAsia="de-CH"/>
        </w:rPr>
      </w:pPr>
    </w:p>
    <w:p w14:paraId="00E3FE7E" w14:textId="38BFEF20" w:rsidR="00E77DA4" w:rsidRDefault="00E77DA4" w:rsidP="00E77DA4">
      <w:pPr>
        <w:pStyle w:val="KeinLeerraum"/>
      </w:pPr>
      <w:r w:rsidRPr="00E77DA4">
        <w:t>Doch ein Tag wird kommen, wenn der Herr Jesus Christus die Feinde Gottes richten und sein Reich</w:t>
      </w:r>
      <w:r>
        <w:t xml:space="preserve"> </w:t>
      </w:r>
      <w:r w:rsidRPr="00E77DA4">
        <w:t xml:space="preserve">der Gerechtigkeit </w:t>
      </w:r>
      <w:r>
        <w:t>(Millennium)</w:t>
      </w:r>
      <w:r w:rsidRPr="00E77DA4">
        <w:t xml:space="preserve"> aufrichten wird. Dann, aber auch erst dann, werden die Schwerter zu Pflugscharen werden. Solange der Friedefürst verworfen ist, kann es keinen Frieden auf der Erde geben.</w:t>
      </w:r>
    </w:p>
    <w:p w14:paraId="5EB69EFD" w14:textId="77777777" w:rsidR="00093385" w:rsidRDefault="00093385" w:rsidP="008B0F1F">
      <w:pPr>
        <w:pStyle w:val="KeinLeerraum"/>
      </w:pPr>
    </w:p>
    <w:p w14:paraId="65AF3C19" w14:textId="77777777" w:rsidR="009E364A" w:rsidRPr="00B22CDE" w:rsidRDefault="009E364A" w:rsidP="009E364A">
      <w:pPr>
        <w:pStyle w:val="KeinLeerraum"/>
        <w:spacing w:line="360" w:lineRule="auto"/>
        <w:rPr>
          <w:b/>
        </w:rPr>
      </w:pPr>
      <w:r w:rsidRPr="00B22CDE">
        <w:rPr>
          <w:b/>
        </w:rPr>
        <w:t>Das geteilte Königreich</w:t>
      </w:r>
    </w:p>
    <w:p w14:paraId="0EA16779" w14:textId="77777777" w:rsidR="009E364A" w:rsidRDefault="009E364A" w:rsidP="009E364A">
      <w:pPr>
        <w:pStyle w:val="KeinLeerraum"/>
      </w:pPr>
      <w:r>
        <w:t>Um Jesaja und seine Botschaft richtig zu verstehen, müssen wir wissen, dass er in einem geteilten Königreich gelebt hat. Das geteilte Königreich war nie im Plan Gottes, sondern war eine Folge von einem Nichtbeachten von Gottes Weisungen und Instruktionen.</w:t>
      </w:r>
    </w:p>
    <w:p w14:paraId="610B5603" w14:textId="77777777" w:rsidR="009E364A" w:rsidRDefault="009E364A" w:rsidP="009E364A">
      <w:pPr>
        <w:pStyle w:val="KeinLeerraum"/>
      </w:pPr>
    </w:p>
    <w:p w14:paraId="0AEF8EC1" w14:textId="77777777" w:rsidR="009E364A" w:rsidRDefault="009E364A" w:rsidP="009E364A">
      <w:pPr>
        <w:pStyle w:val="KeinLeerraum"/>
      </w:pPr>
      <w:r>
        <w:t>Wir können es gut vergleichen mit einem Möbelstück welches wir im IKEA kaufen und es dann nicht gemäss Beschrieb zusammenbauen. Durch einen falschen Zusammenbau des Möbels missachten wir die ursprüngliche Absicht des Erfinders und zweckentfremden das Möbelstück. Ungefähr so ist es mit dem Königreich Israel geschehen.</w:t>
      </w:r>
    </w:p>
    <w:p w14:paraId="2344378A" w14:textId="77777777" w:rsidR="009E364A" w:rsidRDefault="009E364A" w:rsidP="009E364A">
      <w:pPr>
        <w:pStyle w:val="KeinLeerraum"/>
      </w:pPr>
    </w:p>
    <w:p w14:paraId="0B13702B" w14:textId="77777777" w:rsidR="009E364A" w:rsidRDefault="009E364A" w:rsidP="009E364A">
      <w:pPr>
        <w:pStyle w:val="KeinLeerraum"/>
        <w:spacing w:line="360" w:lineRule="auto"/>
      </w:pPr>
      <w:r>
        <w:t xml:space="preserve">Was ist </w:t>
      </w:r>
      <w:proofErr w:type="gramStart"/>
      <w:r>
        <w:t>geschehen?:</w:t>
      </w:r>
      <w:proofErr w:type="gramEnd"/>
    </w:p>
    <w:p w14:paraId="03C2DC98" w14:textId="5C495A04" w:rsidR="009E364A" w:rsidRDefault="009E364A" w:rsidP="009E364A">
      <w:pPr>
        <w:pStyle w:val="KeinLeerraum"/>
      </w:pPr>
      <w:r>
        <w:t>1096 v.Chr. wurde das Königreich Israel gegründet, und wurde in der Folge von drei Königen, (Saul, David, Salomo) für jeweils 40 Jahre regiert. Alle drei Könige hielten sich nicht gänzlich an die Vorgaben, die Gott bezüglich des zukünftigen Königs am Sinai dem Volk Gottes gegeben hatte. Am besten hatte es noch König David gemacht. David hatte viele Kriege gekämpft und somit für seine</w:t>
      </w:r>
      <w:r w:rsidR="00970542">
        <w:t>n</w:t>
      </w:r>
      <w:r>
        <w:t xml:space="preserve"> Sohn und nächsten König Salomo die Möglichkeit eines friedlichen Reichs geschaffen.</w:t>
      </w:r>
    </w:p>
    <w:p w14:paraId="659564D2" w14:textId="77777777" w:rsidR="009E364A" w:rsidRDefault="009E364A" w:rsidP="009E364A">
      <w:pPr>
        <w:pStyle w:val="KeinLeerraum"/>
      </w:pPr>
    </w:p>
    <w:p w14:paraId="2F49AF92" w14:textId="77777777" w:rsidR="009E364A" w:rsidRDefault="009E364A" w:rsidP="009E364A">
      <w:pPr>
        <w:pStyle w:val="KeinLeerraum"/>
      </w:pPr>
      <w:r>
        <w:t xml:space="preserve">Salomo baute in der Folge eine grosse Verwaltung auf. Für seinen Hofstaat brauchte er täglich grosse Mengen an Mehl, Rinder, Schafe, Hirsche, Gazellen, Geflügel, und noch Vieles mehr. Zudem baute er ein riesiges Kriegsheer auf mit Rossen, Streitwagen und Reitern </w:t>
      </w:r>
      <w:r w:rsidRPr="00C0270A">
        <w:rPr>
          <w:b/>
        </w:rPr>
        <w:t>(1Kö 5,1-8)</w:t>
      </w:r>
      <w:r>
        <w:t>.</w:t>
      </w:r>
    </w:p>
    <w:p w14:paraId="34957802" w14:textId="77777777" w:rsidR="009E364A" w:rsidRDefault="009E364A" w:rsidP="009E364A">
      <w:pPr>
        <w:pStyle w:val="KeinLeerraum"/>
      </w:pPr>
      <w:r>
        <w:lastRenderedPageBreak/>
        <w:t>Zusätzlich engagierte er sich in unzählige Bauwerke und kurbelte die Wirtschaft an und Israel florierte.</w:t>
      </w:r>
      <w:r w:rsidRPr="009D1398">
        <w:t xml:space="preserve"> </w:t>
      </w:r>
      <w:r>
        <w:t xml:space="preserve">Um all die Arbeiten aufrecht zu erhalten, hatte er ein Fronarbeitssystem installiert mit Zehntausenden von Fronarbeitern und Aufsehern </w:t>
      </w:r>
      <w:r w:rsidRPr="009D1398">
        <w:rPr>
          <w:b/>
        </w:rPr>
        <w:t>(</w:t>
      </w:r>
      <w:r>
        <w:rPr>
          <w:b/>
        </w:rPr>
        <w:t>1Kö 5,27-32</w:t>
      </w:r>
      <w:r w:rsidRPr="009D1398">
        <w:rPr>
          <w:b/>
        </w:rPr>
        <w:t>)</w:t>
      </w:r>
      <w:r>
        <w:t>.</w:t>
      </w:r>
    </w:p>
    <w:p w14:paraId="6529BBCB" w14:textId="77777777" w:rsidR="009E364A" w:rsidRDefault="009E364A" w:rsidP="009E364A">
      <w:pPr>
        <w:pStyle w:val="KeinLeerraum"/>
      </w:pPr>
    </w:p>
    <w:p w14:paraId="0D163723" w14:textId="28925139" w:rsidR="009E364A" w:rsidRDefault="009E364A" w:rsidP="009E364A">
      <w:pPr>
        <w:pStyle w:val="KeinLeerraum"/>
      </w:pPr>
      <w:r>
        <w:t xml:space="preserve">In </w:t>
      </w:r>
      <w:r w:rsidRPr="00C0270A">
        <w:rPr>
          <w:b/>
        </w:rPr>
        <w:t>1Kö 10,27</w:t>
      </w:r>
      <w:r>
        <w:t xml:space="preserve"> lesen wir: "</w:t>
      </w:r>
      <w:r w:rsidRPr="00C0270A">
        <w:t xml:space="preserve">Und der König machte das Silber in Jerusalem an Menge den Steinen gleich und das Zedernholz den Maulbeerfeigenbäumen in der </w:t>
      </w:r>
      <w:proofErr w:type="spellStart"/>
      <w:r w:rsidRPr="00C0270A">
        <w:t>Schephela</w:t>
      </w:r>
      <w:proofErr w:type="spellEnd"/>
      <w:r w:rsidRPr="00C0270A">
        <w:t>.</w:t>
      </w:r>
      <w:r>
        <w:t xml:space="preserve">" </w:t>
      </w:r>
      <w:r w:rsidRPr="00C0270A">
        <w:rPr>
          <w:b/>
        </w:rPr>
        <w:t>In 1Kö 11</w:t>
      </w:r>
      <w:r>
        <w:t xml:space="preserve"> lesen wir dann, wie Salomo, um dieses Handels-Netzwerk aufzubauen, bzw. auszubauen, viele nichtjüdische Frauen nahm und auch für sie Paläste und private Tempel </w:t>
      </w:r>
      <w:r w:rsidR="005D3BD4">
        <w:t>baute</w:t>
      </w:r>
      <w:r>
        <w:t>.</w:t>
      </w:r>
    </w:p>
    <w:p w14:paraId="284DEBC5" w14:textId="77777777" w:rsidR="009E364A" w:rsidRDefault="009E364A" w:rsidP="009E364A">
      <w:pPr>
        <w:pStyle w:val="KeinLeerraum"/>
      </w:pPr>
    </w:p>
    <w:p w14:paraId="505AA4EE" w14:textId="77777777" w:rsidR="009E364A" w:rsidRDefault="009E364A" w:rsidP="009E364A">
      <w:pPr>
        <w:pStyle w:val="KeinLeerraum"/>
      </w:pPr>
      <w:r>
        <w:t>Vieles geschah auf dem Rücken der nördlichen Stämme Israels und diese Stämme fühlten sich mehr und mehr ausgenutzt und an den Rand gedrängt. Salomo hat diese aufkeimende Gefahr für die Einheit des Landes nicht richtig eingeschätzt. Nach dem Tod Salomos (976 v.Chr.) hat dessen Sohn Rehabeam den Thron übernommen und die ganze Situation eskalierte und es kam zur Trennung der zwölf nördlichen Stämme und den beiden südlichen Stämmen Juda und Benjamin.</w:t>
      </w:r>
    </w:p>
    <w:p w14:paraId="4076196D" w14:textId="77777777" w:rsidR="009E364A" w:rsidRDefault="009E364A" w:rsidP="009E364A">
      <w:pPr>
        <w:pStyle w:val="KeinLeerraum"/>
      </w:pPr>
    </w:p>
    <w:p w14:paraId="0DBA31B5" w14:textId="77777777" w:rsidR="009E364A" w:rsidRDefault="009E364A" w:rsidP="009E364A">
      <w:pPr>
        <w:pStyle w:val="KeinLeerraum"/>
      </w:pPr>
      <w:r>
        <w:t xml:space="preserve">In </w:t>
      </w:r>
      <w:proofErr w:type="spellStart"/>
      <w:r w:rsidRPr="009D1398">
        <w:rPr>
          <w:b/>
        </w:rPr>
        <w:t>Dt</w:t>
      </w:r>
      <w:proofErr w:type="spellEnd"/>
      <w:r w:rsidRPr="009D1398">
        <w:rPr>
          <w:b/>
        </w:rPr>
        <w:t xml:space="preserve"> 17,14-20</w:t>
      </w:r>
      <w:r>
        <w:t xml:space="preserve"> gibt Gott seine Bedienungsanleitung (das Königsgesetz) wie der zukünftige König des Volkes Israel regieren und leben soll. </w:t>
      </w:r>
    </w:p>
    <w:p w14:paraId="3B11AEB1" w14:textId="77777777" w:rsidR="009E364A" w:rsidRDefault="009E364A" w:rsidP="009E364A">
      <w:pPr>
        <w:pStyle w:val="KeinLeerraum"/>
      </w:pPr>
    </w:p>
    <w:p w14:paraId="30679026" w14:textId="77777777" w:rsidR="009E364A" w:rsidRDefault="009E364A" w:rsidP="009E364A">
      <w:pPr>
        <w:pStyle w:val="KeinLeerraum"/>
      </w:pPr>
      <w:r>
        <w:t>"</w:t>
      </w:r>
      <w:r w:rsidRPr="008B5C6B">
        <w:t>Wenn du in das Land kommst, das der HERR, dein Gott, dir gibt, und es in Besitz nimmst und darin wohnst und dann sagst: »Ich will einen König über mich setzen, wie alle Heidenvölker, die um mich her sind!«, 15 so sollst du nur den zum König über dich setzen, den der HERR, dein Gott, erwählen wird. Aus der Mitte deiner Brüder sollst du einen König über dich setzen; du kannst keinen Fremden über dich setzen, der nicht dein Bruder ist. 16 Nur soll er nicht viele Pferde halten und das Volk nicht wieder nach Ägypten führen, um die Zahl seiner Pferde zu vermehren, da doch der HERR euch gesagt hat: Ihr sollt nie mehr auf diesem Weg zurückkehren! 17 Er soll auch nicht viele Frauen nehmen, damit sein Herz nicht auf Abwege gerät; auch soll er sich nicht zu viel Silber und Gold aufhäufen. 18 Wenn er dann auf seinem königlichen Thron sitzt, so soll er eine Abschrift dieses Gesetzes, das vor den levitischen Priestern liegt, in ein Buch schreiben [lassen]. 19 Und dieses soll bei ihm sein, und er soll darin lesen alle Tage seines Lebens, damit er lernt, den HERRN, seinen Gott, zu fürchten, damit er alle Worte dieses Gesetzes und diese Satzungen bewahrt und sie tut; 20 dass sich sein Herz nicht über seine Brüder erhebt und er nicht abweicht von dem Gebot, weder zur Rechten noch zur Linken, damit er die Tage seiner Königsherrschaft verlängere, er und seine Söhne, in der Mitte Israels.</w:t>
      </w:r>
      <w:r>
        <w:t xml:space="preserve">" </w:t>
      </w:r>
      <w:r w:rsidRPr="00AE0026">
        <w:rPr>
          <w:b/>
        </w:rPr>
        <w:t>(</w:t>
      </w:r>
      <w:proofErr w:type="spellStart"/>
      <w:r>
        <w:rPr>
          <w:b/>
        </w:rPr>
        <w:t>Dt</w:t>
      </w:r>
      <w:proofErr w:type="spellEnd"/>
      <w:r>
        <w:rPr>
          <w:b/>
        </w:rPr>
        <w:t xml:space="preserve"> 17,14-20</w:t>
      </w:r>
      <w:r w:rsidRPr="00AE0026">
        <w:rPr>
          <w:b/>
        </w:rPr>
        <w:t>)</w:t>
      </w:r>
    </w:p>
    <w:p w14:paraId="1011BF19" w14:textId="77777777" w:rsidR="009E364A" w:rsidRDefault="009E364A" w:rsidP="009E364A">
      <w:pPr>
        <w:pStyle w:val="KeinLeerraum"/>
      </w:pPr>
    </w:p>
    <w:p w14:paraId="13DCEBE4" w14:textId="4288C29C" w:rsidR="009E364A" w:rsidRDefault="009E364A" w:rsidP="009E364A">
      <w:pPr>
        <w:pStyle w:val="KeinLeerraum"/>
      </w:pPr>
      <w:r>
        <w:t>Salomo hatte zwar einen genialen Start in seine Regierungszeit, hat sich aber mehr und mehr in den Dingen des Alltags verloren. Anstatt das Reich Gottes zu bauen, investierte er sich vollends in sein eigenes Reich und machte dadurch gravierende Fehler zum Leidwesen des ganzen Volkes. Es sieht so aus, als hätte er die Bedienungsanleitung Gottes für einen König ignoriert und nicht mehr danach gelebt. Das hat schlussendlich die Grundlage geschaffen, dass sich das Königreich Israel trennte in einen Nord- und einen Südteil.</w:t>
      </w:r>
    </w:p>
    <w:p w14:paraId="139EB38A" w14:textId="77777777" w:rsidR="00DC6566" w:rsidRDefault="00DC6566" w:rsidP="009E364A">
      <w:pPr>
        <w:pStyle w:val="KeinLeerraum"/>
      </w:pPr>
    </w:p>
    <w:p w14:paraId="768B1091" w14:textId="20A24875" w:rsidR="009E364A" w:rsidRDefault="009E364A" w:rsidP="009E364A">
      <w:pPr>
        <w:pStyle w:val="KeinLeerraum"/>
      </w:pPr>
      <w:r>
        <w:t>Wir können daraus lernen, Gottes Wort Massstab in allem für unser Leben sein zu lassen. Wer Gottes Weisungen ignoriert, ist gemäss den Sprüchen Salomos ein Dummkopf. Wir haben in der Botschaft des Predigerbuches gesehen, dass die Dinge dieser Welt einen sehr beschränkten Wert haben für unser Leben. Lassen wir uns nicht übermässig in die Dinge des Lebens hineinverwickeln und in der Folge die bleibenden Dinge des Reiches Gottes vernachlässigen. OneLife-OneChance! Lasst uns jeden Tag</w:t>
      </w:r>
      <w:r w:rsidR="005D3BD4">
        <w:t xml:space="preserve"> durch die Hilfe und</w:t>
      </w:r>
      <w:r>
        <w:t xml:space="preserve"> </w:t>
      </w:r>
      <w:r w:rsidR="005D3BD4">
        <w:t xml:space="preserve">Leitung des Heiligen Geistes </w:t>
      </w:r>
      <w:r>
        <w:t>die richtige Entscheidung treffen!</w:t>
      </w:r>
    </w:p>
    <w:p w14:paraId="21DE6537" w14:textId="6BDDB543" w:rsidR="009E364A" w:rsidRDefault="009E364A" w:rsidP="009E364A">
      <w:pPr>
        <w:pStyle w:val="KeinLeerraum"/>
      </w:pPr>
    </w:p>
    <w:p w14:paraId="451E4E5E" w14:textId="77777777" w:rsidR="009E364A" w:rsidRPr="00DA70DD" w:rsidRDefault="009E364A" w:rsidP="009E364A">
      <w:pPr>
        <w:pStyle w:val="KeinLeerraum"/>
        <w:spacing w:line="360" w:lineRule="auto"/>
        <w:rPr>
          <w:b/>
        </w:rPr>
      </w:pPr>
      <w:r w:rsidRPr="00DA70DD">
        <w:rPr>
          <w:b/>
        </w:rPr>
        <w:t>Könige in Juda</w:t>
      </w:r>
      <w:r>
        <w:rPr>
          <w:b/>
        </w:rPr>
        <w:t xml:space="preserve"> während dem Dienst des Jesaja</w:t>
      </w:r>
      <w:r w:rsidRPr="00DA70DD">
        <w:rPr>
          <w:b/>
        </w:rPr>
        <w:t xml:space="preserve"> (MacArthur)</w:t>
      </w:r>
    </w:p>
    <w:p w14:paraId="36B152A7" w14:textId="77777777" w:rsidR="009E364A" w:rsidRDefault="009E364A" w:rsidP="009E364A">
      <w:pPr>
        <w:pStyle w:val="KeinLeerraum"/>
        <w:rPr>
          <w:szCs w:val="24"/>
        </w:rPr>
      </w:pPr>
      <w:r>
        <w:rPr>
          <w:szCs w:val="24"/>
        </w:rPr>
        <w:t xml:space="preserve">Im ersten Teil des Jesajabuches finden wir drei unterschiedliche Könige. Einmal den König Ahas von Juda in </w:t>
      </w:r>
      <w:r w:rsidRPr="00166798">
        <w:rPr>
          <w:b/>
          <w:szCs w:val="24"/>
        </w:rPr>
        <w:t>Kp 7-12</w:t>
      </w:r>
      <w:r>
        <w:rPr>
          <w:szCs w:val="24"/>
        </w:rPr>
        <w:t xml:space="preserve">., dann König Pekach von Israel in </w:t>
      </w:r>
      <w:r w:rsidRPr="00166798">
        <w:rPr>
          <w:b/>
          <w:szCs w:val="24"/>
        </w:rPr>
        <w:t>7,1</w:t>
      </w:r>
      <w:r>
        <w:rPr>
          <w:szCs w:val="24"/>
        </w:rPr>
        <w:t xml:space="preserve"> (der sich mit Syrien verbündete) und dann König </w:t>
      </w:r>
      <w:r>
        <w:rPr>
          <w:szCs w:val="24"/>
        </w:rPr>
        <w:lastRenderedPageBreak/>
        <w:t xml:space="preserve">Hiskia von Juda in </w:t>
      </w:r>
      <w:r w:rsidRPr="00166798">
        <w:rPr>
          <w:b/>
          <w:szCs w:val="24"/>
        </w:rPr>
        <w:t>Kp 36-39</w:t>
      </w:r>
      <w:r>
        <w:rPr>
          <w:szCs w:val="24"/>
        </w:rPr>
        <w:t>. Ahas und Pekach waren gottlose Könige. Hiskia hingegen war ein sehr guter König. Aber leider eben "nur" ein sehr guter König. Er machte entscheidende Fehler. Und mit diesen "fehlerhaften" Königen schliesst der erste Teil. Somit zeigt dieser erste Teil an, dass es eine göttliche Lösung braucht. Diese finden wir nun im zweiten Teil des Jesajabuches. Gott selber wird durch seinen Knecht eingreifen und das Problem der Sünde bereinigen. Dieser Knecht aber wird von Gott als den ewigen König gekrönt werden und die Herrschaft Gottes wird auf seinen Schultern sein.</w:t>
      </w:r>
    </w:p>
    <w:p w14:paraId="4BBC96BA" w14:textId="77777777" w:rsidR="009E364A" w:rsidRDefault="009E364A" w:rsidP="009E364A">
      <w:pPr>
        <w:pStyle w:val="KeinLeerraum"/>
        <w:rPr>
          <w:szCs w:val="24"/>
        </w:rPr>
      </w:pPr>
    </w:p>
    <w:p w14:paraId="1CEF310B" w14:textId="77777777" w:rsidR="009E364A" w:rsidRDefault="009E364A" w:rsidP="009E364A">
      <w:pPr>
        <w:pStyle w:val="KeinLeerraum"/>
        <w:spacing w:line="360" w:lineRule="auto"/>
        <w:rPr>
          <w:szCs w:val="24"/>
        </w:rPr>
      </w:pPr>
      <w:r>
        <w:rPr>
          <w:szCs w:val="24"/>
        </w:rPr>
        <w:t>Das silberne Zeitalter Judas:</w:t>
      </w:r>
    </w:p>
    <w:p w14:paraId="1F3933D0" w14:textId="77777777" w:rsidR="009E364A" w:rsidRDefault="009E364A" w:rsidP="009E364A">
      <w:pPr>
        <w:pStyle w:val="KeinLeerraum"/>
        <w:rPr>
          <w:szCs w:val="24"/>
        </w:rPr>
      </w:pPr>
      <w:r>
        <w:rPr>
          <w:szCs w:val="24"/>
        </w:rPr>
        <w:t>Die Zeit der Könige Ussija und Jotam war geprägt von politischem und wirtschaftlichem Wohlergehen (2,7). Der innere Zustand des Volkes aber war schlecht. Es diente Gott nur mit den Lippen, während das Herz entfremdet war (29,13). Darum war der Gottesdienst unerträglich (1,10-15). Jesaja sagt, dass das Volk vom Herrn abgefallen sei und geistlich krank ist (Jes 1,2-6).</w:t>
      </w:r>
    </w:p>
    <w:p w14:paraId="70856A9B" w14:textId="77777777" w:rsidR="009E364A" w:rsidRDefault="009E364A" w:rsidP="009E364A">
      <w:pPr>
        <w:pStyle w:val="KeinLeerraum"/>
        <w:rPr>
          <w:szCs w:val="24"/>
        </w:rPr>
      </w:pPr>
    </w:p>
    <w:tbl>
      <w:tblPr>
        <w:tblW w:w="0" w:type="auto"/>
        <w:tblLook w:val="04A0" w:firstRow="1" w:lastRow="0" w:firstColumn="1" w:lastColumn="0" w:noHBand="0" w:noVBand="1"/>
      </w:tblPr>
      <w:tblGrid>
        <w:gridCol w:w="1271"/>
        <w:gridCol w:w="8753"/>
      </w:tblGrid>
      <w:tr w:rsidR="009E364A" w:rsidRPr="003C5B9C" w14:paraId="1BF0060A" w14:textId="77777777" w:rsidTr="00825E51">
        <w:trPr>
          <w:trHeight w:val="458"/>
        </w:trPr>
        <w:tc>
          <w:tcPr>
            <w:tcW w:w="1271" w:type="dxa"/>
            <w:shd w:val="clear" w:color="auto" w:fill="1F3864" w:themeFill="accent5" w:themeFillShade="80"/>
          </w:tcPr>
          <w:p w14:paraId="4957B76A" w14:textId="77777777" w:rsidR="009E364A" w:rsidRPr="003C5B9C" w:rsidRDefault="009E364A" w:rsidP="00825E51">
            <w:pPr>
              <w:pStyle w:val="KeinLeerraum"/>
              <w:rPr>
                <w:b/>
                <w:szCs w:val="24"/>
              </w:rPr>
            </w:pPr>
            <w:r w:rsidRPr="003C5B9C">
              <w:rPr>
                <w:b/>
                <w:szCs w:val="24"/>
              </w:rPr>
              <w:t>König</w:t>
            </w:r>
          </w:p>
        </w:tc>
        <w:tc>
          <w:tcPr>
            <w:tcW w:w="8753" w:type="dxa"/>
            <w:shd w:val="clear" w:color="auto" w:fill="1F3864" w:themeFill="accent5" w:themeFillShade="80"/>
          </w:tcPr>
          <w:p w14:paraId="45244821" w14:textId="77777777" w:rsidR="009E364A" w:rsidRPr="003C5B9C" w:rsidRDefault="009E364A" w:rsidP="00825E51">
            <w:pPr>
              <w:pStyle w:val="KeinLeerraum"/>
              <w:rPr>
                <w:b/>
                <w:szCs w:val="24"/>
              </w:rPr>
            </w:pPr>
            <w:r w:rsidRPr="003C5B9C">
              <w:rPr>
                <w:b/>
                <w:szCs w:val="24"/>
              </w:rPr>
              <w:t>Beschrieb</w:t>
            </w:r>
          </w:p>
        </w:tc>
      </w:tr>
      <w:tr w:rsidR="009E364A" w14:paraId="09811972" w14:textId="77777777" w:rsidTr="00825E51">
        <w:tc>
          <w:tcPr>
            <w:tcW w:w="1271" w:type="dxa"/>
            <w:shd w:val="clear" w:color="auto" w:fill="D9E2F3" w:themeFill="accent5" w:themeFillTint="33"/>
          </w:tcPr>
          <w:p w14:paraId="62245E42" w14:textId="77777777" w:rsidR="009E364A" w:rsidRPr="003C5B9C" w:rsidRDefault="009E364A" w:rsidP="00825E51">
            <w:pPr>
              <w:pStyle w:val="KeinLeerraum"/>
              <w:rPr>
                <w:b/>
                <w:szCs w:val="24"/>
              </w:rPr>
            </w:pPr>
            <w:r w:rsidRPr="003C5B9C">
              <w:rPr>
                <w:b/>
                <w:szCs w:val="24"/>
              </w:rPr>
              <w:t>Ussijah</w:t>
            </w:r>
          </w:p>
        </w:tc>
        <w:tc>
          <w:tcPr>
            <w:tcW w:w="8753" w:type="dxa"/>
          </w:tcPr>
          <w:p w14:paraId="284105C3" w14:textId="03843873" w:rsidR="009E364A" w:rsidRDefault="009E364A" w:rsidP="00825E51">
            <w:pPr>
              <w:pStyle w:val="KeinLeerraum"/>
            </w:pPr>
            <w:r w:rsidRPr="003C5B9C">
              <w:t>Während de</w:t>
            </w:r>
            <w:r w:rsidR="00970542">
              <w:t xml:space="preserve">n </w:t>
            </w:r>
            <w:r w:rsidRPr="003C5B9C">
              <w:t>52 Jahre</w:t>
            </w:r>
            <w:r w:rsidR="00970542">
              <w:t>n</w:t>
            </w:r>
            <w:r w:rsidRPr="003C5B9C">
              <w:t xml:space="preserve"> der Regierung Ussijas (</w:t>
            </w:r>
            <w:r>
              <w:t>810</w:t>
            </w:r>
            <w:r w:rsidRPr="003C5B9C">
              <w:t>-7</w:t>
            </w:r>
            <w:r>
              <w:t>59</w:t>
            </w:r>
            <w:r w:rsidRPr="003C5B9C">
              <w:t xml:space="preserve"> v.Chr.) entwickelte sich Juda zu einem</w:t>
            </w:r>
            <w:r>
              <w:t xml:space="preserve"> </w:t>
            </w:r>
            <w:r w:rsidRPr="003C5B9C">
              <w:t>wirtschaftlich und militärisch starken Staat mit einem Handelshafen am Roten Meer und mit Mauern, Türmen</w:t>
            </w:r>
            <w:r>
              <w:t xml:space="preserve"> </w:t>
            </w:r>
            <w:r w:rsidRPr="003C5B9C">
              <w:t xml:space="preserve">und Befestigungsanlagen (2Chr 26,3-5.8-10.13-15). </w:t>
            </w:r>
            <w:r>
              <w:t xml:space="preserve">Äusserlich wurde der Gottesdienst eingehalten, aber mit ihrem Herzen entfernten sich die Leute mehr und mehr von ihrem Gott. </w:t>
            </w:r>
            <w:r w:rsidRPr="003C5B9C">
              <w:t xml:space="preserve">Ussijas </w:t>
            </w:r>
            <w:r>
              <w:t>"Fall"</w:t>
            </w:r>
            <w:r w:rsidRPr="003C5B9C">
              <w:t xml:space="preserve"> resultierte aus seinem Versuch, sich der Vorrechte der Priester</w:t>
            </w:r>
            <w:r>
              <w:t xml:space="preserve"> </w:t>
            </w:r>
            <w:r w:rsidRPr="003C5B9C">
              <w:t>zu bemächtigen und Weihrauch auf dem Altar aufsteigen zu lassen (2Kö 15,3.4; 2Chr 26,16-19). Er wurde mit</w:t>
            </w:r>
            <w:r>
              <w:t xml:space="preserve"> </w:t>
            </w:r>
            <w:r w:rsidRPr="003C5B9C">
              <w:t xml:space="preserve">Aussatz gerichtet, wovon er nie wieder </w:t>
            </w:r>
            <w:r w:rsidR="00970542">
              <w:t>erholte</w:t>
            </w:r>
            <w:r w:rsidRPr="003C5B9C">
              <w:t xml:space="preserve"> (2Kö 15,5; 2Chr 26,20.21).</w:t>
            </w:r>
          </w:p>
          <w:p w14:paraId="6186C003" w14:textId="77777777" w:rsidR="009E364A" w:rsidRDefault="009E364A" w:rsidP="00825E51">
            <w:pPr>
              <w:pStyle w:val="KeinLeerraum"/>
              <w:rPr>
                <w:szCs w:val="24"/>
              </w:rPr>
            </w:pPr>
          </w:p>
        </w:tc>
      </w:tr>
      <w:tr w:rsidR="009E364A" w14:paraId="61CD5AB7" w14:textId="77777777" w:rsidTr="00825E51">
        <w:tc>
          <w:tcPr>
            <w:tcW w:w="1271" w:type="dxa"/>
            <w:shd w:val="clear" w:color="auto" w:fill="D9E2F3" w:themeFill="accent5" w:themeFillTint="33"/>
          </w:tcPr>
          <w:p w14:paraId="38B9E289" w14:textId="77777777" w:rsidR="009E364A" w:rsidRPr="00B64B74" w:rsidRDefault="009E364A" w:rsidP="00825E51">
            <w:pPr>
              <w:pStyle w:val="KeinLeerraum"/>
              <w:rPr>
                <w:b/>
                <w:szCs w:val="24"/>
              </w:rPr>
            </w:pPr>
            <w:r w:rsidRPr="00B64B74">
              <w:rPr>
                <w:b/>
                <w:szCs w:val="24"/>
              </w:rPr>
              <w:t>Jotam</w:t>
            </w:r>
          </w:p>
        </w:tc>
        <w:tc>
          <w:tcPr>
            <w:tcW w:w="8753" w:type="dxa"/>
          </w:tcPr>
          <w:p w14:paraId="4E347D7B" w14:textId="2FDF6D8E" w:rsidR="009E364A" w:rsidRDefault="009E364A" w:rsidP="00825E51">
            <w:pPr>
              <w:pStyle w:val="KeinLeerraum"/>
            </w:pPr>
            <w:r>
              <w:t>Sein Sohn Jotam (758-743 v.Chr.) musste die Pflichten des Königs bereits vor dem Tod seines Vaters übernehmen. Assyrien begann unter Tiglat-Pileser</w:t>
            </w:r>
            <w:r w:rsidR="00D44A9B">
              <w:t xml:space="preserve"> III</w:t>
            </w:r>
            <w:r>
              <w:t xml:space="preserve"> (744-727 v.Chr.) als neue internationale Macht aufzusteigen, während Jotam König war (2Kö 15,19). Ausserdem zog Juda sich während seiner Regierung den Widerstand Israels</w:t>
            </w:r>
          </w:p>
          <w:p w14:paraId="4EBEBE1C" w14:textId="77777777" w:rsidR="009E364A" w:rsidRDefault="009E364A" w:rsidP="00825E51">
            <w:pPr>
              <w:pStyle w:val="KeinLeerraum"/>
            </w:pPr>
            <w:r>
              <w:t>und Syriens (»Aram«) im Norden zu (2Kö 15,37). Jotam war ein Baumeister und Kämpfer wie sein Vater, aber die innere geistliche Entfremdung herrschte im Land immer noch vor (2Kö 15,34.35; 2Chr 27,1.2).</w:t>
            </w:r>
          </w:p>
          <w:p w14:paraId="06901DA1" w14:textId="77777777" w:rsidR="009E364A" w:rsidRPr="003C5B9C" w:rsidRDefault="009E364A" w:rsidP="00825E51">
            <w:pPr>
              <w:pStyle w:val="KeinLeerraum"/>
            </w:pPr>
          </w:p>
        </w:tc>
      </w:tr>
      <w:tr w:rsidR="009E364A" w14:paraId="14EB5849" w14:textId="77777777" w:rsidTr="00825E51">
        <w:tc>
          <w:tcPr>
            <w:tcW w:w="1271" w:type="dxa"/>
            <w:shd w:val="clear" w:color="auto" w:fill="D9E2F3" w:themeFill="accent5" w:themeFillTint="33"/>
          </w:tcPr>
          <w:p w14:paraId="1E1E0549" w14:textId="77777777" w:rsidR="009E364A" w:rsidRPr="00B64B74" w:rsidRDefault="009E364A" w:rsidP="00825E51">
            <w:pPr>
              <w:pStyle w:val="KeinLeerraum"/>
              <w:rPr>
                <w:b/>
                <w:szCs w:val="24"/>
              </w:rPr>
            </w:pPr>
            <w:r w:rsidRPr="00B64B74">
              <w:rPr>
                <w:b/>
                <w:szCs w:val="24"/>
              </w:rPr>
              <w:t>Ahas</w:t>
            </w:r>
          </w:p>
        </w:tc>
        <w:tc>
          <w:tcPr>
            <w:tcW w:w="8753" w:type="dxa"/>
          </w:tcPr>
          <w:p w14:paraId="00BD7D17" w14:textId="2D86B534" w:rsidR="009E364A" w:rsidRDefault="009E364A" w:rsidP="00825E51">
            <w:pPr>
              <w:pStyle w:val="KeinLeerraum"/>
            </w:pPr>
            <w:r>
              <w:t>Ahas (742-727 v.Chr.) war 2</w:t>
            </w:r>
            <w:r w:rsidR="00A43BAD">
              <w:t>0</w:t>
            </w:r>
            <w:r>
              <w:t xml:space="preserve"> Jahre alt, als er in Juda zu regieren begann (2Chr 28,1.8). Israel und Syrien bildeten eine Allianz, um sich gegen die zunehmende assyrische Bedrohung vom Osten zu wehren, aber Ahas weigerte sich, Juda in diese Allianz miteinzubinden (2Kö 16,5; Jes 7,6). Deshalb drohten die nördlichen Nachbarn, ihm vom Thron zu stürzen, und so kam es zum Krieg. In seiner Panik liess Ahas beim assyrischen König Hilfe holen (2Kö 16,7), welcher sich gern darauf einliess und Gaza in Schutt und Asche legte, ganz Galiläa und Gilead in Gefangenschaft führte und schließlich auch Damaskus einnahm (732 v.Chr.). Ahas’ Allianz mit Assyrien führte dazu, dass er im Tempel Salomos einen heidnischen Altar aufstellte (2Kö 16,10-16; 2Chr 28,3).</w:t>
            </w:r>
          </w:p>
          <w:p w14:paraId="00749E58" w14:textId="77777777" w:rsidR="009E364A" w:rsidRDefault="009E364A" w:rsidP="00825E51">
            <w:pPr>
              <w:pStyle w:val="KeinLeerraum"/>
            </w:pPr>
          </w:p>
        </w:tc>
      </w:tr>
      <w:tr w:rsidR="009E364A" w14:paraId="126FD090" w14:textId="77777777" w:rsidTr="00825E51">
        <w:tc>
          <w:tcPr>
            <w:tcW w:w="1271" w:type="dxa"/>
            <w:shd w:val="clear" w:color="auto" w:fill="D9E2F3" w:themeFill="accent5" w:themeFillTint="33"/>
          </w:tcPr>
          <w:p w14:paraId="23A69DFB" w14:textId="77777777" w:rsidR="009E364A" w:rsidRPr="00B64B74" w:rsidRDefault="009E364A" w:rsidP="00825E51">
            <w:pPr>
              <w:pStyle w:val="KeinLeerraum"/>
              <w:rPr>
                <w:b/>
                <w:szCs w:val="24"/>
              </w:rPr>
            </w:pPr>
            <w:r>
              <w:rPr>
                <w:b/>
                <w:szCs w:val="24"/>
              </w:rPr>
              <w:t>Hiskia</w:t>
            </w:r>
          </w:p>
        </w:tc>
        <w:tc>
          <w:tcPr>
            <w:tcW w:w="8753" w:type="dxa"/>
          </w:tcPr>
          <w:p w14:paraId="4A076CE1" w14:textId="3B02ED93" w:rsidR="009E364A" w:rsidRDefault="009E364A" w:rsidP="00825E51">
            <w:pPr>
              <w:pStyle w:val="KeinLeerraum"/>
            </w:pPr>
            <w:r>
              <w:t xml:space="preserve">Hiskia (727-698 v.Chr.) regierte 29 Jahre über Juda. Als er König wurde, hat er geistliche Reformen eingeleitet (2Kö 18,4.22; 2Chr 30,1). Die Bedrohung einer assyrischen Invasion zwang Juda, dieser Macht aus dem Osten einen hohen Tribut zuzusagen. Im Jahre 713 v.Chr. wurde Hiskia todkrank, doch er betete und Gott verlängerte in seiner Gnade das Lebens Hiskias um 15 weitere Jahre (2Kö 20; Jes 38) bis 698 v.Chr. Der Herrscher von Babylon nutzte diese Gelegenheit der Krankheit und Genesung Hiskias, um ihn Glückwünsche zu überbringen. Damit versuchte er wahrscheinlich gleichzeitig, eine Allianz mit Juda gegen Assyrien zu bilden (2Kö 20,12ff.; Jes 39). Als Assyrien aufgrund innerer Streitigkeiten schwach wurde, verweigerte Hiskia alle weiteren </w:t>
            </w:r>
            <w:r>
              <w:lastRenderedPageBreak/>
              <w:t>Tributzahlungen (2Kö 18,7). Im Jahre 7</w:t>
            </w:r>
            <w:r w:rsidR="003D7E5B">
              <w:t>13</w:t>
            </w:r>
            <w:r>
              <w:t xml:space="preserve"> v.Chr. fiel deshalb Sanherib, der assyrische König, in die Küstenregion Israels ein und marschierte entlang der Südflanke Israels in Richtung Ägypten. Auf dem Weg überfiel er viele judäische Städte, plünderte sie und verschleppte viel Volk zurück nach Assyrien. Während er </w:t>
            </w:r>
            <w:proofErr w:type="spellStart"/>
            <w:r>
              <w:t>Lachis</w:t>
            </w:r>
            <w:proofErr w:type="spellEnd"/>
            <w:r>
              <w:t xml:space="preserve"> belagerte, sandte er einige Truppen aus, um auch Jerusalem zu belagern (2Kö 18,17-19,8; Jes 36,2-37,8). Diese Exkursion scheiterte jedoch, sodass er bei einem zweiten Versuch Boten nach Jerusalem sandte und die sofortige </w:t>
            </w:r>
            <w:r w:rsidR="00A43BAD">
              <w:t>Kapitulation</w:t>
            </w:r>
            <w:r>
              <w:t xml:space="preserve"> der Stadt forderte (2Kö 19,9ff.; Jes 37,9ff.). Mit Jesajas Ermutigung verweigerte Hiskia die </w:t>
            </w:r>
            <w:r w:rsidR="00A43BAD">
              <w:t>Kapitulation</w:t>
            </w:r>
            <w:r>
              <w:t xml:space="preserve"> und als </w:t>
            </w:r>
            <w:proofErr w:type="spellStart"/>
            <w:r>
              <w:t>Sanheribs</w:t>
            </w:r>
            <w:proofErr w:type="spellEnd"/>
            <w:r>
              <w:t xml:space="preserve"> Truppen einer plötzlichen Katastrophe zum Opfer fielen, kehrte er nach Ninive zurück und bedrohte Juda nie wieder. Während seiner Regierung eroberte Assyrien Samaria, die Hauptstadt des Nordreiches, und verschleppte viele der fähigsten Israeliten in Gefangenschaft (2Kö 17,6.24).</w:t>
            </w:r>
          </w:p>
          <w:p w14:paraId="19E8C8E6" w14:textId="77777777" w:rsidR="009E364A" w:rsidRDefault="009E364A" w:rsidP="00825E51">
            <w:pPr>
              <w:pStyle w:val="KeinLeerraum"/>
            </w:pPr>
          </w:p>
        </w:tc>
      </w:tr>
    </w:tbl>
    <w:p w14:paraId="66A0CFD8" w14:textId="77777777" w:rsidR="009E364A" w:rsidRDefault="009E364A" w:rsidP="009E364A">
      <w:pPr>
        <w:pStyle w:val="KeinLeerraum"/>
        <w:rPr>
          <w:szCs w:val="24"/>
        </w:rPr>
      </w:pPr>
    </w:p>
    <w:p w14:paraId="42527FC3" w14:textId="77777777" w:rsidR="009E364A" w:rsidRDefault="009E364A" w:rsidP="009E364A">
      <w:pPr>
        <w:pStyle w:val="KeinLeerraum"/>
      </w:pPr>
    </w:p>
    <w:p w14:paraId="6C3B2607" w14:textId="47CD0CEE" w:rsidR="009E364A" w:rsidRPr="009E364A" w:rsidRDefault="009E364A" w:rsidP="009E364A">
      <w:pPr>
        <w:pStyle w:val="KeinLeerraum"/>
        <w:spacing w:line="360" w:lineRule="auto"/>
        <w:rPr>
          <w:b/>
        </w:rPr>
      </w:pPr>
      <w:r w:rsidRPr="009E364A">
        <w:rPr>
          <w:b/>
        </w:rPr>
        <w:t>Grosse und kleine Propheten</w:t>
      </w:r>
    </w:p>
    <w:p w14:paraId="6A1E6449" w14:textId="4B9FBBFB" w:rsidR="0076218B" w:rsidRDefault="0076218B" w:rsidP="0076218B">
      <w:pPr>
        <w:pStyle w:val="KeinLeerraum"/>
      </w:pPr>
      <w:r>
        <w:t xml:space="preserve">Das deutsche Wort "Prophet" geht auf das Griechische zurück und bedeutet eigentlich "Verkündiger" (Prediger). Der älteste verwendete AT-Begriff ist "Seher", später wurde er </w:t>
      </w:r>
      <w:proofErr w:type="gramStart"/>
      <w:r>
        <w:t>durch Prophet</w:t>
      </w:r>
      <w:proofErr w:type="gramEnd"/>
      <w:r>
        <w:t xml:space="preserve"> ersetzt.</w:t>
      </w:r>
    </w:p>
    <w:p w14:paraId="2AFA34B0" w14:textId="77777777" w:rsidR="0076218B" w:rsidRDefault="0076218B" w:rsidP="0076218B">
      <w:pPr>
        <w:pStyle w:val="KeinLeerraum"/>
      </w:pPr>
    </w:p>
    <w:p w14:paraId="5BC41A8E" w14:textId="1303F2EA" w:rsidR="0076218B" w:rsidRDefault="0076218B" w:rsidP="0076218B">
      <w:pPr>
        <w:pStyle w:val="KeinLeerraum"/>
      </w:pPr>
      <w:r>
        <w:t>Der von Jesaja bis Maleachi reichende Abschnitt des AT wird meistens "die Propheten" genannt. Dabei bezeichnet man Jesaja, Jeremia, Hesekiel und Daniel als die "Gro</w:t>
      </w:r>
      <w:r w:rsidR="009E364A">
        <w:t>ss</w:t>
      </w:r>
      <w:r>
        <w:t>en Propheten", einfach, weil ihre B</w:t>
      </w:r>
      <w:r>
        <w:rPr>
          <w:rFonts w:hint="eastAsia"/>
        </w:rPr>
        <w:t>ü</w:t>
      </w:r>
      <w:r>
        <w:t>cher l</w:t>
      </w:r>
      <w:r>
        <w:rPr>
          <w:rFonts w:hint="eastAsia"/>
        </w:rPr>
        <w:t>ä</w:t>
      </w:r>
      <w:r>
        <w:t>nger sind als die meisten der anderen zw</w:t>
      </w:r>
      <w:r>
        <w:rPr>
          <w:rFonts w:hint="eastAsia"/>
        </w:rPr>
        <w:t>ö</w:t>
      </w:r>
      <w:r>
        <w:t>lf B</w:t>
      </w:r>
      <w:r>
        <w:rPr>
          <w:rFonts w:hint="eastAsia"/>
        </w:rPr>
        <w:t>ü</w:t>
      </w:r>
      <w:r>
        <w:t>cher. Diese nennt man daher die "Kleinen Propheten", Hosea (N), Joel (S), Amos (N), Obadja (H), Jona (N), Micha (S), Nahum (H), Habakuk (S), Zephanja (S), Haggai (S), Sacharja (S), Maleachi (S).</w:t>
      </w:r>
    </w:p>
    <w:p w14:paraId="0D3B9287" w14:textId="77777777" w:rsidR="0076218B" w:rsidRDefault="0076218B" w:rsidP="0076218B">
      <w:pPr>
        <w:pStyle w:val="KeinLeerraum"/>
      </w:pPr>
    </w:p>
    <w:p w14:paraId="41710FD2" w14:textId="77777777" w:rsidR="0076218B" w:rsidRPr="007B25FE" w:rsidRDefault="0076218B" w:rsidP="0076218B">
      <w:pPr>
        <w:pStyle w:val="KeinLeerraum"/>
        <w:rPr>
          <w:b/>
        </w:rPr>
      </w:pPr>
      <w:r w:rsidRPr="007B25FE">
        <w:rPr>
          <w:b/>
        </w:rPr>
        <w:t>Propheten Israels und Judas</w:t>
      </w:r>
    </w:p>
    <w:p w14:paraId="2978CFC5" w14:textId="77777777" w:rsidR="0076218B" w:rsidRDefault="0076218B" w:rsidP="0076218B">
      <w:pPr>
        <w:pStyle w:val="KeinLeerraum"/>
      </w:pPr>
    </w:p>
    <w:p w14:paraId="1AC7824C" w14:textId="77777777" w:rsidR="0076218B" w:rsidRDefault="0076218B" w:rsidP="0076218B">
      <w:pPr>
        <w:pStyle w:val="KeinLeerraum"/>
      </w:pPr>
      <w:r w:rsidRPr="008C62CF">
        <w:rPr>
          <w:noProof/>
        </w:rPr>
        <w:drawing>
          <wp:inline distT="0" distB="0" distL="0" distR="0" wp14:anchorId="791B8D02" wp14:editId="1ED6E158">
            <wp:extent cx="1128929" cy="1861457"/>
            <wp:effectExtent l="0" t="0" r="0" b="571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0889" cy="1897667"/>
                    </a:xfrm>
                    <a:prstGeom prst="rect">
                      <a:avLst/>
                    </a:prstGeom>
                    <a:noFill/>
                    <a:ln>
                      <a:noFill/>
                    </a:ln>
                  </pic:spPr>
                </pic:pic>
              </a:graphicData>
            </a:graphic>
          </wp:inline>
        </w:drawing>
      </w:r>
    </w:p>
    <w:p w14:paraId="72DE6D41" w14:textId="77777777" w:rsidR="0076218B" w:rsidRDefault="0076218B" w:rsidP="0076218B">
      <w:pPr>
        <w:pStyle w:val="KeinLeerraum"/>
      </w:pPr>
    </w:p>
    <w:p w14:paraId="0D14FC31" w14:textId="77777777" w:rsidR="0076218B" w:rsidRDefault="0076218B" w:rsidP="0076218B">
      <w:pPr>
        <w:pStyle w:val="KeinLeerraum"/>
      </w:pPr>
      <w:r>
        <w:t>Im AT beginnt die Zeit der Propheten in den Tagen Samuels, ca. 1100 v.Chr., am Ende der Richterzeit. Die Schriftpropheten des AT traten allerdings erst zur Zeit des geteilten Reiches auf (976 v.Chr.). Sie geh</w:t>
      </w:r>
      <w:r>
        <w:rPr>
          <w:rFonts w:hint="eastAsia"/>
        </w:rPr>
        <w:t>ö</w:t>
      </w:r>
      <w:r>
        <w:t>ren also zu der Zeit, die in 1. + 2. K</w:t>
      </w:r>
      <w:r>
        <w:rPr>
          <w:rFonts w:hint="eastAsia"/>
        </w:rPr>
        <w:t>ö</w:t>
      </w:r>
      <w:r>
        <w:t>nige und in 1. und 2. Chronik beschrieben wird, und wirkten bis in die Tage Esras und Nehemias (Maleachi).</w:t>
      </w:r>
    </w:p>
    <w:p w14:paraId="636A6DCB" w14:textId="77777777" w:rsidR="0076218B" w:rsidRDefault="0076218B" w:rsidP="008B0F1F">
      <w:pPr>
        <w:pStyle w:val="KeinLeerraum"/>
      </w:pPr>
    </w:p>
    <w:p w14:paraId="27E21D65" w14:textId="6D636DBF" w:rsidR="00F4652E" w:rsidRDefault="00004513" w:rsidP="00F4652E">
      <w:pPr>
        <w:pStyle w:val="KeinLeerraum"/>
      </w:pPr>
      <w:r>
        <w:t xml:space="preserve">Wenn wir zu den </w:t>
      </w:r>
      <w:r w:rsidRPr="00BD5C7E">
        <w:rPr>
          <w:b/>
        </w:rPr>
        <w:t>Schrift-Propheten des</w:t>
      </w:r>
      <w:r>
        <w:t xml:space="preserve"> AT kommen, müssen wir zuerst einmal umdenken. In den</w:t>
      </w:r>
      <w:r w:rsidR="00167305">
        <w:t xml:space="preserve"> meisten</w:t>
      </w:r>
      <w:r>
        <w:t xml:space="preserve"> vorangegangen Büchern hatten wir meist eine klare chronologische </w:t>
      </w:r>
      <w:r w:rsidR="00167305">
        <w:t>Abfolge</w:t>
      </w:r>
      <w:r>
        <w:t xml:space="preserve"> der </w:t>
      </w:r>
      <w:r w:rsidR="00167305">
        <w:t>Ereignisse</w:t>
      </w:r>
      <w:r>
        <w:t xml:space="preserve">. </w:t>
      </w:r>
      <w:r w:rsidR="00167305">
        <w:t xml:space="preserve">Das fällt uns grundsätzlich leicht und wir können der Erzählung folgen. Wenn wir aber zu den </w:t>
      </w:r>
      <w:r>
        <w:t xml:space="preserve">Schriften der Propheten </w:t>
      </w:r>
      <w:r w:rsidR="00167305">
        <w:t>kommen, müssen wir wissen, dass es keine Biographien sind und auch meist nicht einer zeitlichen Abfolge entsprechen.</w:t>
      </w:r>
      <w:r>
        <w:t xml:space="preserve"> Sie sind vielmehr Sammlungen</w:t>
      </w:r>
      <w:r w:rsidR="00167305">
        <w:t>, bzw. eine Auswahl</w:t>
      </w:r>
      <w:r>
        <w:t xml:space="preserve"> der Predigten</w:t>
      </w:r>
      <w:r w:rsidR="00167305">
        <w:t xml:space="preserve"> oder Botschaften</w:t>
      </w:r>
      <w:r>
        <w:t xml:space="preserve"> der Propheten.</w:t>
      </w:r>
      <w:r w:rsidR="00F4652E">
        <w:t xml:space="preserve"> </w:t>
      </w:r>
      <w:r w:rsidR="009D0EC5">
        <w:t>Diese</w:t>
      </w:r>
      <w:r w:rsidR="00F4652E">
        <w:t xml:space="preserve"> Sammlungen</w:t>
      </w:r>
      <w:r w:rsidR="009D0EC5">
        <w:t xml:space="preserve"> sind sehr oft</w:t>
      </w:r>
      <w:r w:rsidR="00F4652E">
        <w:t xml:space="preserve"> nicht chronologisch, sondern überwiegend thematisch zusammengestellt. Die Propheten haben im Verlaufe ihres Dienstes für Gott </w:t>
      </w:r>
      <w:r w:rsidR="00F4652E">
        <w:lastRenderedPageBreak/>
        <w:t>viel mehr gepredigt und verkündet, als das was wir im biblischen Kanon finden.</w:t>
      </w:r>
      <w:r w:rsidR="00F4652E" w:rsidRPr="00F4652E">
        <w:t xml:space="preserve"> </w:t>
      </w:r>
      <w:r w:rsidR="00F4652E">
        <w:t>Sie waren in dem Sinn Prediger und Auszüge dieser Predigten finden wir jeweils in den Propheten</w:t>
      </w:r>
      <w:r w:rsidR="0005571E">
        <w:t>büchern</w:t>
      </w:r>
      <w:r w:rsidR="00F4652E">
        <w:t>.</w:t>
      </w:r>
    </w:p>
    <w:p w14:paraId="288E76FF" w14:textId="77777777" w:rsidR="00F4652E" w:rsidRDefault="00F4652E" w:rsidP="00F4652E">
      <w:pPr>
        <w:pStyle w:val="KeinLeerraum"/>
      </w:pPr>
    </w:p>
    <w:p w14:paraId="5A79A5C7" w14:textId="5755DC35" w:rsidR="00167305" w:rsidRDefault="00167305" w:rsidP="00B332C8">
      <w:pPr>
        <w:pStyle w:val="KeinLeerraum"/>
      </w:pPr>
      <w:r>
        <w:t xml:space="preserve">So verhält es sich auch mit Jesaja. Die 66 Kapitel des Jesajabuches sind zusammengestellt aus verschiedenen "Schriftrollen" Jesajas. Die Datierung der Botschaften </w:t>
      </w:r>
      <w:r w:rsidR="00F2003C">
        <w:t>ist</w:t>
      </w:r>
      <w:r>
        <w:t xml:space="preserve"> nicht chronologisch.</w:t>
      </w:r>
    </w:p>
    <w:p w14:paraId="62B5330E" w14:textId="5C74871C" w:rsidR="00167305" w:rsidRDefault="00167305" w:rsidP="00B332C8">
      <w:pPr>
        <w:pStyle w:val="KeinLeerraum"/>
      </w:pPr>
    </w:p>
    <w:p w14:paraId="7D703401" w14:textId="012EC6D1" w:rsidR="00167305" w:rsidRDefault="00167305" w:rsidP="00B332C8">
      <w:pPr>
        <w:pStyle w:val="KeinLeerraum"/>
      </w:pPr>
      <w:r>
        <w:t xml:space="preserve">Siehe: </w:t>
      </w:r>
      <w:r w:rsidRPr="0076218B">
        <w:rPr>
          <w:b/>
        </w:rPr>
        <w:t>Aufbau Jesaja</w:t>
      </w:r>
      <w:r w:rsidR="00735829">
        <w:t xml:space="preserve"> (Acht Schriftrollen des Jesaja)</w:t>
      </w:r>
    </w:p>
    <w:p w14:paraId="323529D4" w14:textId="61F85A89" w:rsidR="00167305" w:rsidRDefault="00167305" w:rsidP="00B332C8">
      <w:pPr>
        <w:pStyle w:val="KeinLeerraum"/>
      </w:pPr>
    </w:p>
    <w:p w14:paraId="5C9F914E" w14:textId="7A1186AB" w:rsidR="00167305" w:rsidRDefault="00735829" w:rsidP="00B332C8">
      <w:pPr>
        <w:pStyle w:val="KeinLeerraum"/>
      </w:pPr>
      <w:r>
        <w:t>Wichtig: Gericht Gottes und Gnade Gottes finden wir in beiden Teilen des Jesajabuches ineinander verwoben. Ein klarer Hinweis, dass Gnade ohne Gericht keine Gnade wäre. Gericht und Gnade sind beständige Begleiter durch die Zeitalter</w:t>
      </w:r>
      <w:r w:rsidR="00DF7755">
        <w:t>. Gnade allein wird erst ab der Neuen Schöpfung von Himmel und Erde, bzw. des Neuen Jerusalems sein.</w:t>
      </w:r>
      <w:r>
        <w:t xml:space="preserve"> Ein falsches Verständnis von Gnade lässt den Gläubigen abdriften in den Sumpf des Fleisches (Galater).</w:t>
      </w:r>
    </w:p>
    <w:p w14:paraId="24ACCCF2" w14:textId="49EC7A33" w:rsidR="005A6ED6" w:rsidRDefault="005A6ED6" w:rsidP="00B332C8">
      <w:pPr>
        <w:pStyle w:val="KeinLeerraum"/>
      </w:pPr>
    </w:p>
    <w:p w14:paraId="3E8E428E" w14:textId="77777777" w:rsidR="0076218B" w:rsidRPr="009E2090" w:rsidRDefault="0076218B" w:rsidP="0076218B">
      <w:pPr>
        <w:pStyle w:val="KeinLeerraum"/>
        <w:spacing w:line="360" w:lineRule="auto"/>
        <w:rPr>
          <w:b/>
        </w:rPr>
      </w:pPr>
      <w:r w:rsidRPr="009E2090">
        <w:rPr>
          <w:b/>
        </w:rPr>
        <w:t>Königreiche:</w:t>
      </w:r>
    </w:p>
    <w:p w14:paraId="729C1128" w14:textId="77777777"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Zwei Gro</w:t>
      </w:r>
      <w:r>
        <w:rPr>
          <w:rFonts w:asciiTheme="minorHAnsi" w:hAnsiTheme="minorHAnsi" w:cstheme="minorHAnsi"/>
          <w:szCs w:val="24"/>
        </w:rPr>
        <w:t>ss</w:t>
      </w:r>
      <w:r w:rsidRPr="009E2090">
        <w:rPr>
          <w:rFonts w:asciiTheme="minorHAnsi" w:hAnsiTheme="minorHAnsi" w:cstheme="minorHAnsi"/>
          <w:szCs w:val="24"/>
        </w:rPr>
        <w:t>mächte nahmen zur Zeit Jesajas Einfluss auf die Geschichte</w:t>
      </w:r>
      <w:r>
        <w:rPr>
          <w:rFonts w:asciiTheme="minorHAnsi" w:hAnsiTheme="minorHAnsi" w:cstheme="minorHAnsi"/>
          <w:szCs w:val="24"/>
        </w:rPr>
        <w:t xml:space="preserve"> </w:t>
      </w:r>
      <w:r w:rsidRPr="009E2090">
        <w:rPr>
          <w:rFonts w:asciiTheme="minorHAnsi" w:hAnsiTheme="minorHAnsi" w:cstheme="minorHAnsi"/>
          <w:szCs w:val="24"/>
        </w:rPr>
        <w:t>Israels und Judas: Assyrien und Ägypten. Im Hintergrund lauerte</w:t>
      </w:r>
      <w:r>
        <w:rPr>
          <w:rFonts w:asciiTheme="minorHAnsi" w:hAnsiTheme="minorHAnsi" w:cstheme="minorHAnsi"/>
          <w:szCs w:val="24"/>
        </w:rPr>
        <w:t xml:space="preserve"> </w:t>
      </w:r>
      <w:r w:rsidRPr="009E2090">
        <w:rPr>
          <w:rFonts w:asciiTheme="minorHAnsi" w:hAnsiTheme="minorHAnsi" w:cstheme="minorHAnsi"/>
          <w:szCs w:val="24"/>
        </w:rPr>
        <w:t>als dritte Macht Babel, die erst später zur Großmacht werden sollte.</w:t>
      </w:r>
    </w:p>
    <w:p w14:paraId="684B27FC" w14:textId="77777777" w:rsidR="0076218B" w:rsidRPr="009E2090" w:rsidRDefault="0076218B" w:rsidP="0076218B">
      <w:pPr>
        <w:pStyle w:val="KeinLeerraum"/>
        <w:rPr>
          <w:rFonts w:asciiTheme="minorHAnsi" w:hAnsiTheme="minorHAnsi" w:cstheme="minorHAnsi"/>
          <w:szCs w:val="24"/>
        </w:rPr>
      </w:pPr>
    </w:p>
    <w:p w14:paraId="2649E383" w14:textId="77777777" w:rsidR="0076218B" w:rsidRPr="000C387B" w:rsidRDefault="0076218B" w:rsidP="0076218B">
      <w:pPr>
        <w:pStyle w:val="KeinLeerraum"/>
        <w:rPr>
          <w:rFonts w:asciiTheme="minorHAnsi" w:hAnsiTheme="minorHAnsi" w:cstheme="minorHAnsi"/>
          <w:b/>
          <w:szCs w:val="24"/>
        </w:rPr>
      </w:pPr>
      <w:r w:rsidRPr="000C387B">
        <w:rPr>
          <w:rFonts w:asciiTheme="minorHAnsi" w:hAnsiTheme="minorHAnsi" w:cstheme="minorHAnsi"/>
          <w:b/>
          <w:szCs w:val="24"/>
        </w:rPr>
        <w:t>Assyrien</w:t>
      </w:r>
    </w:p>
    <w:p w14:paraId="31ADE703" w14:textId="1855E4E0"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Assyrien kam unter König Tiglat-Pileser</w:t>
      </w:r>
      <w:r w:rsidR="00D44A9B">
        <w:rPr>
          <w:rFonts w:asciiTheme="minorHAnsi" w:hAnsiTheme="minorHAnsi" w:cstheme="minorHAnsi"/>
          <w:szCs w:val="24"/>
        </w:rPr>
        <w:t xml:space="preserve"> III</w:t>
      </w:r>
      <w:r w:rsidRPr="009E2090">
        <w:rPr>
          <w:rFonts w:asciiTheme="minorHAnsi" w:hAnsiTheme="minorHAnsi" w:cstheme="minorHAnsi"/>
          <w:szCs w:val="24"/>
        </w:rPr>
        <w:t xml:space="preserve"> (744-722) mit Hilfe einer</w:t>
      </w:r>
      <w:r>
        <w:rPr>
          <w:rFonts w:asciiTheme="minorHAnsi" w:hAnsiTheme="minorHAnsi" w:cstheme="minorHAnsi"/>
          <w:szCs w:val="24"/>
        </w:rPr>
        <w:t xml:space="preserve"> </w:t>
      </w:r>
      <w:r w:rsidRPr="009E2090">
        <w:rPr>
          <w:rFonts w:asciiTheme="minorHAnsi" w:hAnsiTheme="minorHAnsi" w:cstheme="minorHAnsi"/>
          <w:szCs w:val="24"/>
        </w:rPr>
        <w:t>brutalen Militärmaschinerie zu gro</w:t>
      </w:r>
      <w:r w:rsidR="003D7E5B">
        <w:rPr>
          <w:rFonts w:asciiTheme="minorHAnsi" w:hAnsiTheme="minorHAnsi" w:cstheme="minorHAnsi"/>
          <w:szCs w:val="24"/>
        </w:rPr>
        <w:t>ss</w:t>
      </w:r>
      <w:r w:rsidRPr="009E2090">
        <w:rPr>
          <w:rFonts w:asciiTheme="minorHAnsi" w:hAnsiTheme="minorHAnsi" w:cstheme="minorHAnsi"/>
          <w:szCs w:val="24"/>
        </w:rPr>
        <w:t>er Macht (vgl. Jes 10,13). Das</w:t>
      </w:r>
      <w:r>
        <w:rPr>
          <w:rFonts w:asciiTheme="minorHAnsi" w:hAnsiTheme="minorHAnsi" w:cstheme="minorHAnsi"/>
          <w:szCs w:val="24"/>
        </w:rPr>
        <w:t xml:space="preserve"> </w:t>
      </w:r>
      <w:r w:rsidRPr="009E2090">
        <w:rPr>
          <w:rFonts w:asciiTheme="minorHAnsi" w:hAnsiTheme="minorHAnsi" w:cstheme="minorHAnsi"/>
          <w:szCs w:val="24"/>
        </w:rPr>
        <w:t>verleitete Juda unter König Ahas dazu, bei ihm Hilfe gegen das angreifende</w:t>
      </w:r>
      <w:r w:rsidR="003D7E5B">
        <w:rPr>
          <w:rFonts w:asciiTheme="minorHAnsi" w:hAnsiTheme="minorHAnsi" w:cstheme="minorHAnsi"/>
          <w:szCs w:val="24"/>
        </w:rPr>
        <w:t xml:space="preserve"> </w:t>
      </w:r>
      <w:r w:rsidRPr="009E2090">
        <w:rPr>
          <w:rFonts w:asciiTheme="minorHAnsi" w:hAnsiTheme="minorHAnsi" w:cstheme="minorHAnsi"/>
          <w:szCs w:val="24"/>
        </w:rPr>
        <w:t>Nordreich Israels zu suchen (2Kön 16,7-9). Die Hilfe wurde</w:t>
      </w:r>
      <w:r>
        <w:rPr>
          <w:rFonts w:asciiTheme="minorHAnsi" w:hAnsiTheme="minorHAnsi" w:cstheme="minorHAnsi"/>
          <w:szCs w:val="24"/>
        </w:rPr>
        <w:t xml:space="preserve"> </w:t>
      </w:r>
      <w:r w:rsidRPr="009E2090">
        <w:rPr>
          <w:rFonts w:asciiTheme="minorHAnsi" w:hAnsiTheme="minorHAnsi" w:cstheme="minorHAnsi"/>
          <w:szCs w:val="24"/>
        </w:rPr>
        <w:t>gewährt: Israel wurde durch die Assyrer in Schranken gehalten, im</w:t>
      </w:r>
      <w:r>
        <w:rPr>
          <w:rFonts w:asciiTheme="minorHAnsi" w:hAnsiTheme="minorHAnsi" w:cstheme="minorHAnsi"/>
          <w:szCs w:val="24"/>
        </w:rPr>
        <w:t xml:space="preserve"> </w:t>
      </w:r>
      <w:r w:rsidRPr="009E2090">
        <w:rPr>
          <w:rFonts w:asciiTheme="minorHAnsi" w:hAnsiTheme="minorHAnsi" w:cstheme="minorHAnsi"/>
          <w:szCs w:val="24"/>
        </w:rPr>
        <w:t>Jahr 722 sogar erobert und verschleppt. Damit ereilte das Nordreich</w:t>
      </w:r>
      <w:r>
        <w:rPr>
          <w:rFonts w:asciiTheme="minorHAnsi" w:hAnsiTheme="minorHAnsi" w:cstheme="minorHAnsi"/>
          <w:szCs w:val="24"/>
        </w:rPr>
        <w:t xml:space="preserve"> </w:t>
      </w:r>
      <w:r w:rsidRPr="009E2090">
        <w:rPr>
          <w:rFonts w:asciiTheme="minorHAnsi" w:hAnsiTheme="minorHAnsi" w:cstheme="minorHAnsi"/>
          <w:szCs w:val="24"/>
        </w:rPr>
        <w:t>das von den Propheten längst angedrohte Ende (Hos; Amos 2,13-16;</w:t>
      </w:r>
      <w:r>
        <w:rPr>
          <w:rFonts w:asciiTheme="minorHAnsi" w:hAnsiTheme="minorHAnsi" w:cstheme="minorHAnsi"/>
          <w:szCs w:val="24"/>
        </w:rPr>
        <w:t xml:space="preserve"> </w:t>
      </w:r>
      <w:r w:rsidRPr="009E2090">
        <w:rPr>
          <w:rFonts w:asciiTheme="minorHAnsi" w:hAnsiTheme="minorHAnsi" w:cstheme="minorHAnsi"/>
          <w:szCs w:val="24"/>
        </w:rPr>
        <w:t>3,9-15). Aber diese Stärkung Assyriens wandte sich bald gegen Juda.</w:t>
      </w:r>
      <w:r>
        <w:rPr>
          <w:rFonts w:asciiTheme="minorHAnsi" w:hAnsiTheme="minorHAnsi" w:cstheme="minorHAnsi"/>
          <w:szCs w:val="24"/>
        </w:rPr>
        <w:t xml:space="preserve"> </w:t>
      </w:r>
      <w:r w:rsidRPr="009E2090">
        <w:rPr>
          <w:rFonts w:asciiTheme="minorHAnsi" w:hAnsiTheme="minorHAnsi" w:cstheme="minorHAnsi"/>
          <w:szCs w:val="24"/>
        </w:rPr>
        <w:t>Der Helfer wurde zum Angreifer, die Hilfe zum Fallstrick. Im Jahr 7</w:t>
      </w:r>
      <w:r w:rsidR="00564C19">
        <w:rPr>
          <w:rFonts w:asciiTheme="minorHAnsi" w:hAnsiTheme="minorHAnsi" w:cstheme="minorHAnsi"/>
          <w:szCs w:val="24"/>
        </w:rPr>
        <w:t>13</w:t>
      </w:r>
      <w:r w:rsidR="00D44A9B">
        <w:rPr>
          <w:rFonts w:asciiTheme="minorHAnsi" w:hAnsiTheme="minorHAnsi" w:cstheme="minorHAnsi"/>
          <w:szCs w:val="24"/>
        </w:rPr>
        <w:t xml:space="preserve"> </w:t>
      </w:r>
      <w:r w:rsidR="00D44A9B">
        <w:rPr>
          <w:rFonts w:asciiTheme="minorHAnsi" w:hAnsiTheme="minorHAnsi" w:cstheme="minorHAnsi"/>
          <w:szCs w:val="24"/>
        </w:rPr>
        <w:t>v.Chr.</w:t>
      </w:r>
      <w:r w:rsidR="003D7E5B">
        <w:rPr>
          <w:rFonts w:asciiTheme="minorHAnsi" w:hAnsiTheme="minorHAnsi" w:cstheme="minorHAnsi"/>
          <w:szCs w:val="24"/>
        </w:rPr>
        <w:t xml:space="preserve"> </w:t>
      </w:r>
      <w:r w:rsidRPr="009E2090">
        <w:rPr>
          <w:rFonts w:asciiTheme="minorHAnsi" w:hAnsiTheme="minorHAnsi" w:cstheme="minorHAnsi"/>
          <w:szCs w:val="24"/>
        </w:rPr>
        <w:t>(</w:t>
      </w:r>
      <w:proofErr w:type="gramStart"/>
      <w:r w:rsidRPr="009E2090">
        <w:rPr>
          <w:rFonts w:asciiTheme="minorHAnsi" w:hAnsiTheme="minorHAnsi" w:cstheme="minorHAnsi"/>
          <w:szCs w:val="24"/>
        </w:rPr>
        <w:t>zur Zeit</w:t>
      </w:r>
      <w:proofErr w:type="gramEnd"/>
      <w:r w:rsidRPr="009E2090">
        <w:rPr>
          <w:rFonts w:asciiTheme="minorHAnsi" w:hAnsiTheme="minorHAnsi" w:cstheme="minorHAnsi"/>
          <w:szCs w:val="24"/>
        </w:rPr>
        <w:t xml:space="preserve"> Hiskias) nahm der Assyrerkönig Sanherib 46 befestigte</w:t>
      </w:r>
      <w:r>
        <w:rPr>
          <w:rFonts w:asciiTheme="minorHAnsi" w:hAnsiTheme="minorHAnsi" w:cstheme="minorHAnsi"/>
          <w:szCs w:val="24"/>
        </w:rPr>
        <w:t xml:space="preserve"> </w:t>
      </w:r>
      <w:r w:rsidRPr="009E2090">
        <w:rPr>
          <w:rFonts w:asciiTheme="minorHAnsi" w:hAnsiTheme="minorHAnsi" w:cstheme="minorHAnsi"/>
          <w:szCs w:val="24"/>
        </w:rPr>
        <w:t>Städte Judas ein und marschierte gegen Jerusalem. Jes 10,28-32</w:t>
      </w:r>
      <w:r>
        <w:rPr>
          <w:rFonts w:asciiTheme="minorHAnsi" w:hAnsiTheme="minorHAnsi" w:cstheme="minorHAnsi"/>
          <w:szCs w:val="24"/>
        </w:rPr>
        <w:t xml:space="preserve"> </w:t>
      </w:r>
      <w:r w:rsidRPr="009E2090">
        <w:rPr>
          <w:rFonts w:asciiTheme="minorHAnsi" w:hAnsiTheme="minorHAnsi" w:cstheme="minorHAnsi"/>
          <w:szCs w:val="24"/>
        </w:rPr>
        <w:t>beschreibt die Anmarschroute des assyrischen Heeres.</w:t>
      </w:r>
    </w:p>
    <w:p w14:paraId="778427F7" w14:textId="77777777" w:rsidR="0076218B" w:rsidRDefault="0076218B" w:rsidP="0076218B">
      <w:pPr>
        <w:pStyle w:val="KeinLeerraum"/>
      </w:pPr>
    </w:p>
    <w:p w14:paraId="69EB121A" w14:textId="6343654C" w:rsidR="0076218B" w:rsidRDefault="0076218B" w:rsidP="0076218B">
      <w:pPr>
        <w:pStyle w:val="KeinLeerraum"/>
      </w:pPr>
      <w:r>
        <w:t xml:space="preserve">Das Neu-Assyrische Reich wurde 744 v.Chr. von Tiglat-Pileser </w:t>
      </w:r>
      <w:r w:rsidR="00D44A9B">
        <w:t>I</w:t>
      </w:r>
      <w:r>
        <w:t>I gegründet als er den Thron in Ninive bestieg. Es war sein Ziel, die "Welt" zu erobern. Er baute die erste professionelle Armee auf im antiken Nahen Osten. Assyrien ist drauf und dran, die Supermacht des Nahen Ostens zu werden und wurde es auch.</w:t>
      </w:r>
    </w:p>
    <w:p w14:paraId="7A2267ED" w14:textId="77777777" w:rsidR="0076218B" w:rsidRDefault="0076218B" w:rsidP="0076218B">
      <w:pPr>
        <w:pStyle w:val="KeinLeerraum"/>
      </w:pPr>
    </w:p>
    <w:tbl>
      <w:tblPr>
        <w:tblW w:w="0" w:type="auto"/>
        <w:tblLook w:val="04A0" w:firstRow="1" w:lastRow="0" w:firstColumn="1" w:lastColumn="0" w:noHBand="0" w:noVBand="1"/>
      </w:tblPr>
      <w:tblGrid>
        <w:gridCol w:w="2506"/>
        <w:gridCol w:w="2506"/>
        <w:gridCol w:w="2506"/>
        <w:gridCol w:w="2506"/>
      </w:tblGrid>
      <w:tr w:rsidR="0076218B" w14:paraId="6C049DF5" w14:textId="77777777" w:rsidTr="00825E51">
        <w:tc>
          <w:tcPr>
            <w:tcW w:w="2506" w:type="dxa"/>
            <w:shd w:val="clear" w:color="auto" w:fill="B4C6E7" w:themeFill="accent5" w:themeFillTint="66"/>
          </w:tcPr>
          <w:p w14:paraId="14F9F24D" w14:textId="77777777" w:rsidR="0076218B" w:rsidRPr="00591802" w:rsidRDefault="0076218B" w:rsidP="00825E51">
            <w:pPr>
              <w:pStyle w:val="KeinLeerraum"/>
              <w:jc w:val="center"/>
              <w:rPr>
                <w:sz w:val="22"/>
              </w:rPr>
            </w:pPr>
            <w:r w:rsidRPr="00591802">
              <w:rPr>
                <w:sz w:val="22"/>
              </w:rPr>
              <w:t>Tiglat-Pileser III</w:t>
            </w:r>
          </w:p>
          <w:p w14:paraId="53D1298C" w14:textId="77777777" w:rsidR="0076218B" w:rsidRPr="00591802" w:rsidRDefault="0076218B" w:rsidP="00825E51">
            <w:pPr>
              <w:pStyle w:val="KeinLeerraum"/>
              <w:jc w:val="center"/>
              <w:rPr>
                <w:sz w:val="22"/>
              </w:rPr>
            </w:pPr>
            <w:r w:rsidRPr="00591802">
              <w:rPr>
                <w:sz w:val="22"/>
              </w:rPr>
              <w:t>744 - 727 v.Chr.</w:t>
            </w:r>
          </w:p>
          <w:p w14:paraId="1A33B4D5" w14:textId="77777777" w:rsidR="0076218B" w:rsidRPr="00591802" w:rsidRDefault="0076218B" w:rsidP="00825E51">
            <w:pPr>
              <w:pStyle w:val="KeinLeerraum"/>
              <w:jc w:val="center"/>
              <w:rPr>
                <w:sz w:val="22"/>
              </w:rPr>
            </w:pPr>
          </w:p>
        </w:tc>
        <w:tc>
          <w:tcPr>
            <w:tcW w:w="2506" w:type="dxa"/>
            <w:shd w:val="clear" w:color="auto" w:fill="B4C6E7" w:themeFill="accent5" w:themeFillTint="66"/>
          </w:tcPr>
          <w:p w14:paraId="4CAD021B" w14:textId="77777777" w:rsidR="0076218B" w:rsidRPr="00591802" w:rsidRDefault="0076218B" w:rsidP="00825E51">
            <w:pPr>
              <w:pStyle w:val="KeinLeerraum"/>
              <w:jc w:val="center"/>
              <w:rPr>
                <w:sz w:val="22"/>
              </w:rPr>
            </w:pPr>
            <w:r w:rsidRPr="00591802">
              <w:rPr>
                <w:sz w:val="22"/>
              </w:rPr>
              <w:t>Salmanasser V</w:t>
            </w:r>
          </w:p>
          <w:p w14:paraId="24369E87" w14:textId="77777777" w:rsidR="0076218B" w:rsidRPr="00591802" w:rsidRDefault="0076218B" w:rsidP="00825E51">
            <w:pPr>
              <w:pStyle w:val="KeinLeerraum"/>
              <w:jc w:val="center"/>
              <w:rPr>
                <w:sz w:val="22"/>
              </w:rPr>
            </w:pPr>
            <w:r w:rsidRPr="00591802">
              <w:rPr>
                <w:sz w:val="22"/>
              </w:rPr>
              <w:t>726 - 722 v.Chr.</w:t>
            </w:r>
          </w:p>
        </w:tc>
        <w:tc>
          <w:tcPr>
            <w:tcW w:w="2506" w:type="dxa"/>
            <w:shd w:val="clear" w:color="auto" w:fill="B4C6E7" w:themeFill="accent5" w:themeFillTint="66"/>
          </w:tcPr>
          <w:p w14:paraId="5E6C56EA" w14:textId="77777777" w:rsidR="0076218B" w:rsidRPr="00591802" w:rsidRDefault="0076218B" w:rsidP="00825E51">
            <w:pPr>
              <w:pStyle w:val="KeinLeerraum"/>
              <w:jc w:val="center"/>
              <w:rPr>
                <w:sz w:val="22"/>
              </w:rPr>
            </w:pPr>
            <w:r w:rsidRPr="00591802">
              <w:rPr>
                <w:sz w:val="22"/>
              </w:rPr>
              <w:t>Sargon II</w:t>
            </w:r>
          </w:p>
          <w:p w14:paraId="7D4F3FD9" w14:textId="77777777" w:rsidR="0076218B" w:rsidRPr="00591802" w:rsidRDefault="0076218B" w:rsidP="00825E51">
            <w:pPr>
              <w:pStyle w:val="KeinLeerraum"/>
              <w:jc w:val="center"/>
              <w:rPr>
                <w:sz w:val="22"/>
              </w:rPr>
            </w:pPr>
            <w:r w:rsidRPr="00591802">
              <w:rPr>
                <w:sz w:val="22"/>
              </w:rPr>
              <w:t>722 - 705 v.Chr.</w:t>
            </w:r>
          </w:p>
        </w:tc>
        <w:tc>
          <w:tcPr>
            <w:tcW w:w="2506" w:type="dxa"/>
            <w:shd w:val="clear" w:color="auto" w:fill="B4C6E7" w:themeFill="accent5" w:themeFillTint="66"/>
          </w:tcPr>
          <w:p w14:paraId="645156CD" w14:textId="77777777" w:rsidR="0076218B" w:rsidRPr="00591802" w:rsidRDefault="0076218B" w:rsidP="00825E51">
            <w:pPr>
              <w:pStyle w:val="KeinLeerraum"/>
              <w:jc w:val="center"/>
              <w:rPr>
                <w:sz w:val="22"/>
              </w:rPr>
            </w:pPr>
            <w:r w:rsidRPr="00591802">
              <w:rPr>
                <w:sz w:val="22"/>
              </w:rPr>
              <w:t>Sanherib</w:t>
            </w:r>
          </w:p>
          <w:p w14:paraId="1F7BD0C3" w14:textId="77777777" w:rsidR="0076218B" w:rsidRPr="00591802" w:rsidRDefault="0076218B" w:rsidP="00825E51">
            <w:pPr>
              <w:pStyle w:val="KeinLeerraum"/>
              <w:jc w:val="center"/>
              <w:rPr>
                <w:sz w:val="22"/>
              </w:rPr>
            </w:pPr>
            <w:r w:rsidRPr="00591802">
              <w:rPr>
                <w:sz w:val="22"/>
              </w:rPr>
              <w:t>704 - 681 v.Chr.</w:t>
            </w:r>
          </w:p>
        </w:tc>
      </w:tr>
      <w:tr w:rsidR="0076218B" w:rsidRPr="009E2090" w14:paraId="4C0646E4" w14:textId="77777777" w:rsidTr="00825E51">
        <w:tc>
          <w:tcPr>
            <w:tcW w:w="2506" w:type="dxa"/>
            <w:shd w:val="clear" w:color="auto" w:fill="DEEAF6" w:themeFill="accent1" w:themeFillTint="33"/>
          </w:tcPr>
          <w:p w14:paraId="082CA709" w14:textId="77777777" w:rsidR="0076218B" w:rsidRPr="00591802" w:rsidRDefault="0076218B" w:rsidP="00825E51">
            <w:pPr>
              <w:pStyle w:val="KeinLeerraum"/>
              <w:jc w:val="center"/>
              <w:rPr>
                <w:sz w:val="22"/>
              </w:rPr>
            </w:pPr>
            <w:r w:rsidRPr="00591802">
              <w:rPr>
                <w:sz w:val="22"/>
              </w:rPr>
              <w:t>2Kön 15,29</w:t>
            </w:r>
          </w:p>
          <w:p w14:paraId="3410AE75" w14:textId="77777777" w:rsidR="0076218B" w:rsidRPr="00591802" w:rsidRDefault="0076218B" w:rsidP="00825E51">
            <w:pPr>
              <w:pStyle w:val="KeinLeerraum"/>
              <w:jc w:val="center"/>
              <w:rPr>
                <w:sz w:val="22"/>
              </w:rPr>
            </w:pPr>
            <w:r w:rsidRPr="00591802">
              <w:rPr>
                <w:sz w:val="22"/>
              </w:rPr>
              <w:t>1Chr 5,6</w:t>
            </w:r>
          </w:p>
        </w:tc>
        <w:tc>
          <w:tcPr>
            <w:tcW w:w="2506" w:type="dxa"/>
            <w:shd w:val="clear" w:color="auto" w:fill="DEEAF6" w:themeFill="accent1" w:themeFillTint="33"/>
          </w:tcPr>
          <w:p w14:paraId="7F017C17" w14:textId="77777777" w:rsidR="0076218B" w:rsidRPr="00591802" w:rsidRDefault="0076218B" w:rsidP="00825E51">
            <w:pPr>
              <w:pStyle w:val="KeinLeerraum"/>
              <w:jc w:val="center"/>
              <w:rPr>
                <w:sz w:val="22"/>
              </w:rPr>
            </w:pPr>
            <w:r w:rsidRPr="00591802">
              <w:rPr>
                <w:sz w:val="22"/>
              </w:rPr>
              <w:t>2Kö 17,3-5</w:t>
            </w:r>
          </w:p>
          <w:p w14:paraId="77028A65" w14:textId="77777777" w:rsidR="0076218B" w:rsidRPr="00591802" w:rsidRDefault="0076218B" w:rsidP="00825E51">
            <w:pPr>
              <w:pStyle w:val="KeinLeerraum"/>
              <w:jc w:val="center"/>
              <w:rPr>
                <w:sz w:val="22"/>
              </w:rPr>
            </w:pPr>
            <w:r w:rsidRPr="00591802">
              <w:rPr>
                <w:sz w:val="22"/>
              </w:rPr>
              <w:t>2Kö 18,9</w:t>
            </w:r>
          </w:p>
        </w:tc>
        <w:tc>
          <w:tcPr>
            <w:tcW w:w="2506" w:type="dxa"/>
            <w:shd w:val="clear" w:color="auto" w:fill="DEEAF6" w:themeFill="accent1" w:themeFillTint="33"/>
          </w:tcPr>
          <w:p w14:paraId="37843143" w14:textId="77777777" w:rsidR="0076218B" w:rsidRPr="00591802" w:rsidRDefault="0076218B" w:rsidP="00825E51">
            <w:pPr>
              <w:pStyle w:val="KeinLeerraum"/>
              <w:jc w:val="center"/>
              <w:rPr>
                <w:sz w:val="22"/>
              </w:rPr>
            </w:pPr>
            <w:r w:rsidRPr="00591802">
              <w:rPr>
                <w:sz w:val="22"/>
              </w:rPr>
              <w:t>Jes 20,1</w:t>
            </w:r>
          </w:p>
        </w:tc>
        <w:tc>
          <w:tcPr>
            <w:tcW w:w="2506" w:type="dxa"/>
            <w:shd w:val="clear" w:color="auto" w:fill="DEEAF6" w:themeFill="accent1" w:themeFillTint="33"/>
          </w:tcPr>
          <w:p w14:paraId="6562B8D2" w14:textId="77777777" w:rsidR="0076218B" w:rsidRPr="00591802" w:rsidRDefault="0076218B" w:rsidP="00825E51">
            <w:pPr>
              <w:pStyle w:val="KeinLeerraum"/>
              <w:jc w:val="center"/>
              <w:rPr>
                <w:sz w:val="22"/>
              </w:rPr>
            </w:pPr>
            <w:r w:rsidRPr="00591802">
              <w:rPr>
                <w:sz w:val="22"/>
              </w:rPr>
              <w:t>2Kö 18,13 / 2Kö 19</w:t>
            </w:r>
          </w:p>
          <w:p w14:paraId="17593632" w14:textId="77777777" w:rsidR="0076218B" w:rsidRPr="00591802" w:rsidRDefault="0076218B" w:rsidP="00825E51">
            <w:pPr>
              <w:pStyle w:val="KeinLeerraum"/>
              <w:jc w:val="center"/>
              <w:rPr>
                <w:sz w:val="22"/>
              </w:rPr>
            </w:pPr>
            <w:r w:rsidRPr="00591802">
              <w:rPr>
                <w:sz w:val="22"/>
              </w:rPr>
              <w:t>2Chr 32,1-10</w:t>
            </w:r>
          </w:p>
          <w:p w14:paraId="5480D0D6" w14:textId="77777777" w:rsidR="0076218B" w:rsidRPr="00591802" w:rsidRDefault="0076218B" w:rsidP="00825E51">
            <w:pPr>
              <w:pStyle w:val="KeinLeerraum"/>
              <w:jc w:val="center"/>
              <w:rPr>
                <w:sz w:val="22"/>
              </w:rPr>
            </w:pPr>
            <w:r w:rsidRPr="00591802">
              <w:rPr>
                <w:sz w:val="22"/>
              </w:rPr>
              <w:t>Jes 36,1</w:t>
            </w:r>
          </w:p>
          <w:p w14:paraId="6CD8962E" w14:textId="77777777" w:rsidR="0076218B" w:rsidRPr="00591802" w:rsidRDefault="0076218B" w:rsidP="00825E51">
            <w:pPr>
              <w:pStyle w:val="KeinLeerraum"/>
              <w:jc w:val="center"/>
              <w:rPr>
                <w:sz w:val="22"/>
              </w:rPr>
            </w:pPr>
            <w:r w:rsidRPr="00591802">
              <w:rPr>
                <w:sz w:val="22"/>
              </w:rPr>
              <w:t>Jes 37,9 / Jes 37,37</w:t>
            </w:r>
          </w:p>
        </w:tc>
      </w:tr>
      <w:tr w:rsidR="0076218B" w:rsidRPr="009E2090" w14:paraId="53874BC1" w14:textId="77777777" w:rsidTr="00825E51">
        <w:tc>
          <w:tcPr>
            <w:tcW w:w="2506" w:type="dxa"/>
          </w:tcPr>
          <w:p w14:paraId="27DA6D20" w14:textId="77777777" w:rsidR="0076218B" w:rsidRPr="00591802" w:rsidRDefault="0076218B" w:rsidP="00825E51">
            <w:pPr>
              <w:pStyle w:val="KeinLeerraum"/>
              <w:jc w:val="center"/>
              <w:rPr>
                <w:sz w:val="22"/>
                <w:lang w:val="de-DE"/>
              </w:rPr>
            </w:pPr>
            <w:r w:rsidRPr="00591802">
              <w:rPr>
                <w:sz w:val="22"/>
              </w:rPr>
              <w:t xml:space="preserve">734 v.Chr. marschierte er entlang der phönizischen und </w:t>
            </w:r>
            <w:proofErr w:type="spellStart"/>
            <w:r w:rsidRPr="00591802">
              <w:rPr>
                <w:sz w:val="22"/>
              </w:rPr>
              <w:t>philistäischen</w:t>
            </w:r>
            <w:proofErr w:type="spellEnd"/>
            <w:r w:rsidRPr="00591802">
              <w:rPr>
                <w:sz w:val="22"/>
              </w:rPr>
              <w:t xml:space="preserve"> Küste bis nach Gaza, um Ahas gegen Israel und Damaskus zu Hilfe zu kommen (2Kön 16,5-7). </w:t>
            </w:r>
            <w:r w:rsidRPr="00591802">
              <w:rPr>
                <w:sz w:val="22"/>
              </w:rPr>
              <w:br/>
            </w:r>
            <w:r w:rsidRPr="00591802">
              <w:rPr>
                <w:sz w:val="22"/>
              </w:rPr>
              <w:br/>
              <w:t xml:space="preserve">Im Jahre 732 v.Chr. zerstörte er Damaskus und machte die nördliche </w:t>
            </w:r>
            <w:r w:rsidRPr="00591802">
              <w:rPr>
                <w:sz w:val="22"/>
              </w:rPr>
              <w:lastRenderedPageBreak/>
              <w:t>Gebiete Israels zu einer assyrischen Provinz (2Kön 15,29). Samaria wurde sein Vasall, Juda wurde tributpflichtig (2Kön 16,8-18).</w:t>
            </w:r>
          </w:p>
        </w:tc>
        <w:tc>
          <w:tcPr>
            <w:tcW w:w="2506" w:type="dxa"/>
          </w:tcPr>
          <w:p w14:paraId="0199255E" w14:textId="77777777" w:rsidR="0076218B" w:rsidRPr="00591802" w:rsidRDefault="0076218B" w:rsidP="00825E51">
            <w:pPr>
              <w:pStyle w:val="KeinLeerraum"/>
              <w:jc w:val="center"/>
              <w:rPr>
                <w:sz w:val="22"/>
              </w:rPr>
            </w:pPr>
            <w:r w:rsidRPr="00591802">
              <w:rPr>
                <w:sz w:val="22"/>
              </w:rPr>
              <w:lastRenderedPageBreak/>
              <w:t>Er begann mit der Belagerung Samarias (2Kö 17,1-5), als der israelitische König Hosea Tribut zurückhielt und Bündnisverhandlungen mit Ägypten aufnahm.</w:t>
            </w:r>
          </w:p>
          <w:p w14:paraId="6B3B3839" w14:textId="77777777" w:rsidR="0076218B" w:rsidRPr="00591802" w:rsidRDefault="0076218B" w:rsidP="00825E51">
            <w:pPr>
              <w:pStyle w:val="KeinLeerraum"/>
              <w:jc w:val="center"/>
              <w:rPr>
                <w:sz w:val="22"/>
              </w:rPr>
            </w:pPr>
          </w:p>
          <w:p w14:paraId="59E8E1EF" w14:textId="77777777" w:rsidR="0076218B" w:rsidRPr="00591802" w:rsidRDefault="0076218B" w:rsidP="00825E51">
            <w:pPr>
              <w:pStyle w:val="KeinLeerraum"/>
              <w:jc w:val="center"/>
              <w:rPr>
                <w:sz w:val="22"/>
              </w:rPr>
            </w:pPr>
            <w:r w:rsidRPr="00591802">
              <w:rPr>
                <w:bCs/>
                <w:sz w:val="22"/>
              </w:rPr>
              <w:t>Nach drei Jahren fiel Samarien</w:t>
            </w:r>
            <w:r w:rsidRPr="00591802">
              <w:rPr>
                <w:sz w:val="22"/>
              </w:rPr>
              <w:t xml:space="preserve">, die Hauptstadt des Nordreiches Israels </w:t>
            </w:r>
            <w:r w:rsidRPr="00591802">
              <w:rPr>
                <w:sz w:val="22"/>
              </w:rPr>
              <w:lastRenderedPageBreak/>
              <w:t>(722 v.Chr.). Israel wurde assyrische Provinz (2Kön 17,6.24) und das Volk wurde in die Verbannung weggeführt.</w:t>
            </w:r>
          </w:p>
        </w:tc>
        <w:tc>
          <w:tcPr>
            <w:tcW w:w="2506" w:type="dxa"/>
          </w:tcPr>
          <w:p w14:paraId="56308389" w14:textId="1B46C4F1" w:rsidR="0076218B" w:rsidRPr="00591802" w:rsidRDefault="0076218B" w:rsidP="00591802">
            <w:pPr>
              <w:jc w:val="center"/>
              <w:rPr>
                <w:rFonts w:cstheme="minorHAnsi"/>
                <w:sz w:val="22"/>
                <w:szCs w:val="22"/>
                <w:lang w:val="de-CH" w:eastAsia="de-CH"/>
              </w:rPr>
            </w:pPr>
            <w:r w:rsidRPr="00591802">
              <w:rPr>
                <w:rFonts w:cstheme="minorHAnsi"/>
                <w:sz w:val="22"/>
                <w:szCs w:val="22"/>
                <w:lang w:val="de-CH" w:eastAsia="de-CH"/>
              </w:rPr>
              <w:lastRenderedPageBreak/>
              <w:t>Nach dem Fall von Samaria fiel ihm die Aufgabe zu, die Deportation der israelitischen Gefangenen nach Assyrien abzuschlie</w:t>
            </w:r>
            <w:r w:rsidR="00591802" w:rsidRPr="00591802">
              <w:rPr>
                <w:rFonts w:cstheme="minorHAnsi"/>
                <w:sz w:val="22"/>
                <w:szCs w:val="22"/>
                <w:lang w:val="de-CH" w:eastAsia="de-CH"/>
              </w:rPr>
              <w:t>ss</w:t>
            </w:r>
            <w:r w:rsidRPr="00591802">
              <w:rPr>
                <w:rFonts w:cstheme="minorHAnsi"/>
                <w:sz w:val="22"/>
                <w:szCs w:val="22"/>
                <w:lang w:val="de-CH" w:eastAsia="de-CH"/>
              </w:rPr>
              <w:t>en und andere Leute an deren Stelle in Samaria anzusiedeln.</w:t>
            </w:r>
          </w:p>
          <w:p w14:paraId="1E330653" w14:textId="77777777" w:rsidR="0076218B" w:rsidRPr="00591802" w:rsidRDefault="0076218B" w:rsidP="00591802">
            <w:pPr>
              <w:jc w:val="center"/>
              <w:rPr>
                <w:rFonts w:cstheme="minorHAnsi"/>
                <w:sz w:val="22"/>
                <w:szCs w:val="22"/>
                <w:lang w:val="de-CH" w:eastAsia="de-CH"/>
              </w:rPr>
            </w:pPr>
            <w:r w:rsidRPr="00591802">
              <w:rPr>
                <w:rFonts w:cstheme="minorHAnsi"/>
                <w:sz w:val="22"/>
                <w:szCs w:val="22"/>
                <w:lang w:val="de-CH" w:eastAsia="de-CH"/>
              </w:rPr>
              <w:lastRenderedPageBreak/>
              <w:t>Sargons Name wird in der Bibel nur im Buch des Propheten Jesaja (Jes 20,1) genannt.</w:t>
            </w:r>
          </w:p>
          <w:p w14:paraId="268652AE" w14:textId="77777777" w:rsidR="0076218B" w:rsidRPr="00591802" w:rsidRDefault="0076218B" w:rsidP="00825E51">
            <w:pPr>
              <w:pStyle w:val="KeinLeerraum"/>
              <w:jc w:val="center"/>
              <w:rPr>
                <w:rFonts w:asciiTheme="minorHAnsi" w:hAnsiTheme="minorHAnsi" w:cstheme="minorHAnsi"/>
                <w:sz w:val="22"/>
              </w:rPr>
            </w:pPr>
          </w:p>
        </w:tc>
        <w:tc>
          <w:tcPr>
            <w:tcW w:w="2506" w:type="dxa"/>
          </w:tcPr>
          <w:p w14:paraId="0A1E9D5A" w14:textId="2F48C719" w:rsidR="0076218B" w:rsidRPr="00591802" w:rsidRDefault="0076218B" w:rsidP="00825E51">
            <w:pPr>
              <w:pStyle w:val="KeinLeerraum"/>
              <w:jc w:val="center"/>
              <w:rPr>
                <w:sz w:val="22"/>
              </w:rPr>
            </w:pPr>
            <w:r w:rsidRPr="00591802">
              <w:rPr>
                <w:sz w:val="22"/>
              </w:rPr>
              <w:lastRenderedPageBreak/>
              <w:t xml:space="preserve">Er konnte zwar viele Städte Judas einnehmen, aber nicht die Hauptstadt Jerusalem. Die Gründe liefert der biblische Bericht in 2Kön 18,13-19,37. </w:t>
            </w:r>
            <w:r w:rsidRPr="00591802">
              <w:rPr>
                <w:sz w:val="22"/>
              </w:rPr>
              <w:br/>
            </w:r>
            <w:r w:rsidRPr="00591802">
              <w:rPr>
                <w:sz w:val="22"/>
              </w:rPr>
              <w:br/>
              <w:t xml:space="preserve">Sanherib wurde </w:t>
            </w:r>
            <w:r w:rsidR="00564C19" w:rsidRPr="00591802">
              <w:rPr>
                <w:sz w:val="22"/>
              </w:rPr>
              <w:t>32</w:t>
            </w:r>
            <w:r w:rsidRPr="00591802">
              <w:rPr>
                <w:sz w:val="22"/>
              </w:rPr>
              <w:t xml:space="preserve"> Jahre nach der Niederlage vor Jerusalem in Ninive, </w:t>
            </w:r>
            <w:r w:rsidRPr="00591802">
              <w:rPr>
                <w:sz w:val="22"/>
              </w:rPr>
              <w:lastRenderedPageBreak/>
              <w:t xml:space="preserve">während er in einem Tempel seine Götzen verehrte, von seinen Söhnen </w:t>
            </w:r>
            <w:proofErr w:type="spellStart"/>
            <w:r w:rsidRPr="00591802">
              <w:rPr>
                <w:sz w:val="22"/>
              </w:rPr>
              <w:t>Adrammelech</w:t>
            </w:r>
            <w:proofErr w:type="spellEnd"/>
            <w:r w:rsidRPr="00591802">
              <w:rPr>
                <w:sz w:val="22"/>
              </w:rPr>
              <w:t xml:space="preserve"> und </w:t>
            </w:r>
            <w:proofErr w:type="spellStart"/>
            <w:r w:rsidRPr="00591802">
              <w:rPr>
                <w:sz w:val="22"/>
              </w:rPr>
              <w:t>Sarezer</w:t>
            </w:r>
            <w:proofErr w:type="spellEnd"/>
            <w:r w:rsidRPr="00591802">
              <w:rPr>
                <w:sz w:val="22"/>
              </w:rPr>
              <w:t xml:space="preserve"> umgebracht (2Kön 19,38). Sie waren über seine </w:t>
            </w:r>
            <w:proofErr w:type="spellStart"/>
            <w:r w:rsidRPr="00591802">
              <w:rPr>
                <w:sz w:val="22"/>
              </w:rPr>
              <w:t>Erbpläne</w:t>
            </w:r>
            <w:proofErr w:type="spellEnd"/>
            <w:r w:rsidRPr="00591802">
              <w:rPr>
                <w:sz w:val="22"/>
              </w:rPr>
              <w:t xml:space="preserve"> erzürnt, da er ihren Bruder Asarhaddon bevorzugte. Asarhaddon folgte ihm auf dem Thron.</w:t>
            </w:r>
          </w:p>
        </w:tc>
      </w:tr>
    </w:tbl>
    <w:p w14:paraId="0871FE96" w14:textId="77777777" w:rsidR="0076218B" w:rsidRDefault="0076218B" w:rsidP="0076218B">
      <w:pPr>
        <w:pStyle w:val="KeinLeerraum"/>
      </w:pPr>
    </w:p>
    <w:p w14:paraId="1840814F" w14:textId="77777777" w:rsidR="0076218B" w:rsidRDefault="0076218B" w:rsidP="0076218B">
      <w:pPr>
        <w:pStyle w:val="KeinLeerraum"/>
      </w:pPr>
      <w:r>
        <w:t>Dieses Neu-Assyrische Reich verbreitete bewusst, dass es für äusserste Brutalität steht. Wer immer sich mit ihnen anlegt oder ihn widersteht wird mit äusserster Härte und unbeschreiblicher Brutalität niedergemacht. Ihre Taktik war also Einschüchterung, Angst und Terror. Das sollte dazu führen, dass sich die Gegner freiwillig und kampflos unterwerfen und, dass besiegte Völker es nicht mehr wagen aufzubegehren. Assyrien war in der Tat ein schrecklicher und brutaler Feind.</w:t>
      </w:r>
    </w:p>
    <w:p w14:paraId="7DAD6BBE" w14:textId="77777777" w:rsidR="0076218B" w:rsidRDefault="0076218B" w:rsidP="0076218B">
      <w:pPr>
        <w:pStyle w:val="KeinLeerraum"/>
      </w:pPr>
    </w:p>
    <w:p w14:paraId="010B5323" w14:textId="77777777" w:rsidR="0076218B" w:rsidRDefault="0076218B" w:rsidP="0076218B">
      <w:pPr>
        <w:pStyle w:val="KeinLeerraum"/>
      </w:pPr>
      <w:r>
        <w:t>Die umliegenden Länder kamen durch diese schnell aufstrebende Weltmacht enorm unter Druck. Unter ihn natürlich auch das Nordreich Israel und auch Juda. Was haben die Staaten zum Schutz gemacht? Einerseits versuchten sich durch Bündnisse und Allianzen sich gegenseitig zu stärken, oder man hat sich der Grossmacht ergeben und dementsprechend Tribut gezahlt.</w:t>
      </w:r>
    </w:p>
    <w:p w14:paraId="2A81039D" w14:textId="77777777" w:rsidR="0076218B" w:rsidRDefault="0076218B" w:rsidP="0076218B">
      <w:pPr>
        <w:pStyle w:val="KeinLeerraum"/>
      </w:pPr>
    </w:p>
    <w:p w14:paraId="327463B9" w14:textId="77777777" w:rsidR="0076218B" w:rsidRPr="00260461" w:rsidRDefault="0076218B" w:rsidP="0076218B">
      <w:pPr>
        <w:pStyle w:val="KeinLeerraum"/>
        <w:spacing w:line="360" w:lineRule="auto"/>
        <w:rPr>
          <w:rFonts w:ascii="Times New Roman" w:hAnsi="Times New Roman"/>
          <w:b/>
          <w:sz w:val="27"/>
          <w:szCs w:val="27"/>
          <w:lang w:eastAsia="de-CH"/>
        </w:rPr>
      </w:pPr>
      <w:r w:rsidRPr="00260461">
        <w:rPr>
          <w:b/>
        </w:rPr>
        <w:t>Die assyrischen Könige und die Bibel</w:t>
      </w:r>
    </w:p>
    <w:p w14:paraId="36226C57" w14:textId="77777777" w:rsidR="0076218B" w:rsidRDefault="0076218B" w:rsidP="0076218B">
      <w:pPr>
        <w:pStyle w:val="KeinLeerraum"/>
        <w:spacing w:line="360" w:lineRule="auto"/>
      </w:pPr>
      <w:r>
        <w:t>Folgende neu-assyrische Könige finden in der Bibel Erwähnung:</w:t>
      </w:r>
    </w:p>
    <w:tbl>
      <w:tblPr>
        <w:tblW w:w="0" w:type="auto"/>
        <w:tblLook w:val="04A0" w:firstRow="1" w:lastRow="0" w:firstColumn="1" w:lastColumn="0" w:noHBand="0" w:noVBand="1"/>
      </w:tblPr>
      <w:tblGrid>
        <w:gridCol w:w="2405"/>
        <w:gridCol w:w="2410"/>
        <w:gridCol w:w="1701"/>
      </w:tblGrid>
      <w:tr w:rsidR="0076218B" w14:paraId="24510FBF" w14:textId="77777777" w:rsidTr="00825E51">
        <w:tc>
          <w:tcPr>
            <w:tcW w:w="2405" w:type="dxa"/>
          </w:tcPr>
          <w:p w14:paraId="61A3034F" w14:textId="77777777" w:rsidR="0076218B" w:rsidRDefault="0076218B" w:rsidP="00825E51">
            <w:pPr>
              <w:pStyle w:val="KeinLeerraum"/>
            </w:pPr>
            <w:r>
              <w:t>Tiglat-Pileser III</w:t>
            </w:r>
          </w:p>
        </w:tc>
        <w:tc>
          <w:tcPr>
            <w:tcW w:w="2410" w:type="dxa"/>
          </w:tcPr>
          <w:p w14:paraId="45C2CA9C" w14:textId="77777777" w:rsidR="0076218B" w:rsidRDefault="0076218B" w:rsidP="00825E51">
            <w:pPr>
              <w:pStyle w:val="KeinLeerraum"/>
            </w:pPr>
            <w:r>
              <w:t>745-727 v.Chr.</w:t>
            </w:r>
          </w:p>
        </w:tc>
        <w:tc>
          <w:tcPr>
            <w:tcW w:w="1701" w:type="dxa"/>
          </w:tcPr>
          <w:p w14:paraId="5CE3A580" w14:textId="77777777" w:rsidR="0076218B" w:rsidRDefault="0076218B" w:rsidP="00825E51">
            <w:pPr>
              <w:pStyle w:val="KeinLeerraum"/>
            </w:pPr>
            <w:r>
              <w:t>2Kö 16,7</w:t>
            </w:r>
          </w:p>
        </w:tc>
      </w:tr>
      <w:tr w:rsidR="0076218B" w14:paraId="16FD6B0F" w14:textId="77777777" w:rsidTr="00825E51">
        <w:tc>
          <w:tcPr>
            <w:tcW w:w="2405" w:type="dxa"/>
          </w:tcPr>
          <w:p w14:paraId="54D5C99C" w14:textId="77777777" w:rsidR="0076218B" w:rsidRDefault="0076218B" w:rsidP="00825E51">
            <w:pPr>
              <w:pStyle w:val="KeinLeerraum"/>
            </w:pPr>
            <w:r>
              <w:t>Salmanasser V</w:t>
            </w:r>
          </w:p>
        </w:tc>
        <w:tc>
          <w:tcPr>
            <w:tcW w:w="2410" w:type="dxa"/>
          </w:tcPr>
          <w:p w14:paraId="28A43A7E" w14:textId="77777777" w:rsidR="0076218B" w:rsidRDefault="0076218B" w:rsidP="00825E51">
            <w:pPr>
              <w:pStyle w:val="KeinLeerraum"/>
            </w:pPr>
            <w:r>
              <w:t>727-722 v.Chr.</w:t>
            </w:r>
          </w:p>
        </w:tc>
        <w:tc>
          <w:tcPr>
            <w:tcW w:w="1701" w:type="dxa"/>
          </w:tcPr>
          <w:p w14:paraId="3F64BEED" w14:textId="77777777" w:rsidR="0076218B" w:rsidRDefault="0076218B" w:rsidP="00825E51">
            <w:pPr>
              <w:pStyle w:val="KeinLeerraum"/>
            </w:pPr>
            <w:r>
              <w:t>2Kö 18,9</w:t>
            </w:r>
          </w:p>
        </w:tc>
      </w:tr>
      <w:tr w:rsidR="0076218B" w14:paraId="441861B1" w14:textId="77777777" w:rsidTr="00825E51">
        <w:tc>
          <w:tcPr>
            <w:tcW w:w="2405" w:type="dxa"/>
          </w:tcPr>
          <w:p w14:paraId="1300D394" w14:textId="77777777" w:rsidR="0076218B" w:rsidRDefault="0076218B" w:rsidP="00825E51">
            <w:pPr>
              <w:pStyle w:val="KeinLeerraum"/>
            </w:pPr>
            <w:r>
              <w:t>Sargon II</w:t>
            </w:r>
          </w:p>
        </w:tc>
        <w:tc>
          <w:tcPr>
            <w:tcW w:w="2410" w:type="dxa"/>
          </w:tcPr>
          <w:p w14:paraId="21C17FED" w14:textId="77777777" w:rsidR="0076218B" w:rsidRDefault="0076218B" w:rsidP="00825E51">
            <w:pPr>
              <w:pStyle w:val="KeinLeerraum"/>
            </w:pPr>
            <w:r>
              <w:t>722 - 705 v.Chr.</w:t>
            </w:r>
          </w:p>
        </w:tc>
        <w:tc>
          <w:tcPr>
            <w:tcW w:w="1701" w:type="dxa"/>
          </w:tcPr>
          <w:p w14:paraId="1755728E" w14:textId="77777777" w:rsidR="0076218B" w:rsidRDefault="0076218B" w:rsidP="00825E51">
            <w:pPr>
              <w:pStyle w:val="KeinLeerraum"/>
            </w:pPr>
            <w:r>
              <w:t>Jes 20,1</w:t>
            </w:r>
          </w:p>
        </w:tc>
      </w:tr>
      <w:tr w:rsidR="0076218B" w14:paraId="08A26529" w14:textId="77777777" w:rsidTr="00825E51">
        <w:tc>
          <w:tcPr>
            <w:tcW w:w="2405" w:type="dxa"/>
          </w:tcPr>
          <w:p w14:paraId="76688E4D" w14:textId="77777777" w:rsidR="0076218B" w:rsidRDefault="0076218B" w:rsidP="00825E51">
            <w:pPr>
              <w:pStyle w:val="KeinLeerraum"/>
            </w:pPr>
            <w:r>
              <w:t>Sanherib</w:t>
            </w:r>
          </w:p>
        </w:tc>
        <w:tc>
          <w:tcPr>
            <w:tcW w:w="2410" w:type="dxa"/>
          </w:tcPr>
          <w:p w14:paraId="2428195C" w14:textId="77777777" w:rsidR="0076218B" w:rsidRDefault="0076218B" w:rsidP="00825E51">
            <w:pPr>
              <w:pStyle w:val="KeinLeerraum"/>
            </w:pPr>
            <w:r>
              <w:t xml:space="preserve">705 - 681 v.Chr.  </w:t>
            </w:r>
          </w:p>
        </w:tc>
        <w:tc>
          <w:tcPr>
            <w:tcW w:w="1701" w:type="dxa"/>
          </w:tcPr>
          <w:p w14:paraId="31619BCA" w14:textId="77777777" w:rsidR="0076218B" w:rsidRDefault="0076218B" w:rsidP="00825E51">
            <w:pPr>
              <w:pStyle w:val="KeinLeerraum"/>
            </w:pPr>
            <w:r>
              <w:t>2Kö 18,13</w:t>
            </w:r>
          </w:p>
        </w:tc>
      </w:tr>
      <w:tr w:rsidR="0076218B" w14:paraId="20E36E96" w14:textId="77777777" w:rsidTr="00825E51">
        <w:tc>
          <w:tcPr>
            <w:tcW w:w="2405" w:type="dxa"/>
          </w:tcPr>
          <w:p w14:paraId="590F8207" w14:textId="5CD5C894" w:rsidR="0076218B" w:rsidRDefault="005A58F5" w:rsidP="00825E51">
            <w:pPr>
              <w:pStyle w:val="KeinLeerraum"/>
            </w:pPr>
            <w:r>
              <w:t>E</w:t>
            </w:r>
            <w:r w:rsidR="0076218B">
              <w:t>sarhaddon</w:t>
            </w:r>
          </w:p>
        </w:tc>
        <w:tc>
          <w:tcPr>
            <w:tcW w:w="2410" w:type="dxa"/>
          </w:tcPr>
          <w:p w14:paraId="42FC1FDC" w14:textId="77777777" w:rsidR="0076218B" w:rsidRDefault="0076218B" w:rsidP="00825E51">
            <w:pPr>
              <w:pStyle w:val="KeinLeerraum"/>
            </w:pPr>
            <w:r>
              <w:t>681-669 v.Chr.</w:t>
            </w:r>
          </w:p>
        </w:tc>
        <w:tc>
          <w:tcPr>
            <w:tcW w:w="1701" w:type="dxa"/>
          </w:tcPr>
          <w:p w14:paraId="5D5F022D" w14:textId="77777777" w:rsidR="0076218B" w:rsidRDefault="0076218B" w:rsidP="00825E51">
            <w:pPr>
              <w:pStyle w:val="KeinLeerraum"/>
            </w:pPr>
            <w:r>
              <w:t>2Kö 19,37</w:t>
            </w:r>
          </w:p>
        </w:tc>
      </w:tr>
      <w:tr w:rsidR="0076218B" w14:paraId="1E1A90BD" w14:textId="77777777" w:rsidTr="00825E51">
        <w:tc>
          <w:tcPr>
            <w:tcW w:w="2405" w:type="dxa"/>
          </w:tcPr>
          <w:p w14:paraId="50163C18" w14:textId="77777777" w:rsidR="0076218B" w:rsidRDefault="0076218B" w:rsidP="00825E51">
            <w:pPr>
              <w:pStyle w:val="KeinLeerraum"/>
            </w:pPr>
            <w:r>
              <w:t>Assurbanipal</w:t>
            </w:r>
          </w:p>
        </w:tc>
        <w:tc>
          <w:tcPr>
            <w:tcW w:w="2410" w:type="dxa"/>
          </w:tcPr>
          <w:p w14:paraId="000C4920" w14:textId="77777777" w:rsidR="0076218B" w:rsidRDefault="0076218B" w:rsidP="00825E51">
            <w:pPr>
              <w:pStyle w:val="KeinLeerraum"/>
            </w:pPr>
            <w:r>
              <w:t>669-627 v.Chr.</w:t>
            </w:r>
          </w:p>
        </w:tc>
        <w:tc>
          <w:tcPr>
            <w:tcW w:w="1701" w:type="dxa"/>
          </w:tcPr>
          <w:p w14:paraId="725E1362" w14:textId="77777777" w:rsidR="0076218B" w:rsidRDefault="0076218B" w:rsidP="00825E51">
            <w:pPr>
              <w:pStyle w:val="KeinLeerraum"/>
            </w:pPr>
            <w:r>
              <w:t>Esra 4</w:t>
            </w:r>
          </w:p>
        </w:tc>
      </w:tr>
    </w:tbl>
    <w:p w14:paraId="7C2F66C4" w14:textId="77777777" w:rsidR="0076218B" w:rsidRDefault="0076218B" w:rsidP="0076218B">
      <w:pPr>
        <w:pStyle w:val="KeinLeerraum"/>
      </w:pPr>
    </w:p>
    <w:p w14:paraId="5DC3D914" w14:textId="3A35ADA6" w:rsidR="0076218B" w:rsidRPr="00F95A62" w:rsidRDefault="0076218B" w:rsidP="0076218B">
      <w:pPr>
        <w:autoSpaceDE w:val="0"/>
        <w:autoSpaceDN w:val="0"/>
        <w:adjustRightInd w:val="0"/>
        <w:rPr>
          <w:rFonts w:eastAsia="PalatinoLinotype-Roman" w:cstheme="minorHAnsi"/>
          <w:lang w:val="de-CH" w:eastAsia="de-CH"/>
        </w:rPr>
      </w:pPr>
      <w:r w:rsidRPr="00F95A62">
        <w:rPr>
          <w:rFonts w:eastAsia="PalatinoLinotype-Roman" w:cstheme="minorHAnsi"/>
          <w:lang w:val="de-CH" w:eastAsia="de-CH"/>
        </w:rPr>
        <w:t>Syrien (Aram) war nach der Teilung des Reiches der Hauptfeind Israels.</w:t>
      </w:r>
      <w:r>
        <w:rPr>
          <w:rFonts w:eastAsia="PalatinoLinotype-Roman" w:cstheme="minorHAnsi"/>
          <w:lang w:val="de-CH" w:eastAsia="de-CH"/>
        </w:rPr>
        <w:t xml:space="preserve"> </w:t>
      </w:r>
      <w:r w:rsidRPr="00F95A62">
        <w:rPr>
          <w:rFonts w:eastAsia="PalatinoLinotype-Roman" w:cstheme="minorHAnsi"/>
          <w:lang w:val="de-CH" w:eastAsia="de-CH"/>
        </w:rPr>
        <w:t>Dann wurde Assyrien mächtig und bedrohte Israel. Die Eroberung Israels durch Assyrien ging in folgenden</w:t>
      </w:r>
      <w:r w:rsidR="00564C19">
        <w:rPr>
          <w:rFonts w:eastAsia="PalatinoLinotype-Roman" w:cstheme="minorHAnsi"/>
          <w:lang w:val="de-CH" w:eastAsia="de-CH"/>
        </w:rPr>
        <w:t xml:space="preserve"> </w:t>
      </w:r>
      <w:r w:rsidRPr="00F95A62">
        <w:rPr>
          <w:rFonts w:eastAsia="PalatinoLinotype-Roman" w:cstheme="minorHAnsi"/>
          <w:lang w:val="de-CH" w:eastAsia="de-CH"/>
        </w:rPr>
        <w:t>Schritten vor sich:</w:t>
      </w:r>
    </w:p>
    <w:p w14:paraId="3D6BCF4C" w14:textId="77777777" w:rsidR="0076218B" w:rsidRPr="00F95A62" w:rsidRDefault="0076218B" w:rsidP="0076218B">
      <w:pPr>
        <w:autoSpaceDE w:val="0"/>
        <w:autoSpaceDN w:val="0"/>
        <w:adjustRightInd w:val="0"/>
        <w:rPr>
          <w:rFonts w:eastAsia="PalatinoLinotype-Roman" w:cstheme="minorHAnsi"/>
          <w:lang w:val="de-CH" w:eastAsia="de-CH"/>
        </w:rPr>
      </w:pPr>
      <w:r w:rsidRPr="00F95A62">
        <w:rPr>
          <w:rFonts w:eastAsia="PalatinoLinotype-Roman" w:cstheme="minorHAnsi"/>
          <w:lang w:val="de-CH" w:eastAsia="de-CH"/>
        </w:rPr>
        <w:t>1. Jehu zahlte Salmanassar</w:t>
      </w:r>
      <w:r>
        <w:rPr>
          <w:rFonts w:eastAsia="PalatinoLinotype-Roman" w:cstheme="minorHAnsi"/>
          <w:lang w:val="de-CH" w:eastAsia="de-CH"/>
        </w:rPr>
        <w:t xml:space="preserve"> III</w:t>
      </w:r>
      <w:r w:rsidRPr="00F95A62">
        <w:rPr>
          <w:rFonts w:eastAsia="PalatinoLinotype-Roman" w:cstheme="minorHAnsi"/>
          <w:lang w:val="de-CH" w:eastAsia="de-CH"/>
        </w:rPr>
        <w:t>, dem König Assyriens, Tribut.</w:t>
      </w:r>
    </w:p>
    <w:p w14:paraId="6BFC7A30" w14:textId="77777777" w:rsidR="0076218B" w:rsidRPr="00F95A62" w:rsidRDefault="0076218B" w:rsidP="0076218B">
      <w:pPr>
        <w:autoSpaceDE w:val="0"/>
        <w:autoSpaceDN w:val="0"/>
        <w:adjustRightInd w:val="0"/>
        <w:rPr>
          <w:rFonts w:eastAsia="PalatinoLinotype-Roman" w:cstheme="minorHAnsi"/>
          <w:lang w:val="de-CH" w:eastAsia="de-CH"/>
        </w:rPr>
      </w:pPr>
      <w:r w:rsidRPr="00F95A62">
        <w:rPr>
          <w:rFonts w:eastAsia="PalatinoLinotype-Roman" w:cstheme="minorHAnsi"/>
          <w:lang w:val="de-CH" w:eastAsia="de-CH"/>
        </w:rPr>
        <w:t xml:space="preserve">2. </w:t>
      </w:r>
      <w:proofErr w:type="spellStart"/>
      <w:r w:rsidRPr="00F95A62">
        <w:rPr>
          <w:rFonts w:eastAsia="PalatinoLinotype-Roman" w:cstheme="minorHAnsi"/>
          <w:lang w:val="de-CH" w:eastAsia="de-CH"/>
        </w:rPr>
        <w:t>Menahem</w:t>
      </w:r>
      <w:proofErr w:type="spellEnd"/>
      <w:r w:rsidRPr="00F95A62">
        <w:rPr>
          <w:rFonts w:eastAsia="PalatinoLinotype-Roman" w:cstheme="minorHAnsi"/>
          <w:lang w:val="de-CH" w:eastAsia="de-CH"/>
        </w:rPr>
        <w:t xml:space="preserve"> zahlte Tiglat-Pileser Tribut.</w:t>
      </w:r>
      <w:r>
        <w:rPr>
          <w:rFonts w:eastAsia="PalatinoLinotype-Roman" w:cstheme="minorHAnsi"/>
          <w:lang w:val="de-CH" w:eastAsia="de-CH"/>
        </w:rPr>
        <w:t xml:space="preserve"> </w:t>
      </w:r>
      <w:r w:rsidRPr="00F95A62">
        <w:rPr>
          <w:rFonts w:eastAsia="PalatinoLinotype-Roman" w:cstheme="minorHAnsi"/>
          <w:lang w:val="de-CH" w:eastAsia="de-CH"/>
        </w:rPr>
        <w:t>Dieser begann, die Israeliten aus ihrem Land wegzuführen.</w:t>
      </w:r>
    </w:p>
    <w:p w14:paraId="4FE86CA3" w14:textId="77777777" w:rsidR="0076218B" w:rsidRPr="00F95A62" w:rsidRDefault="0076218B" w:rsidP="0076218B">
      <w:pPr>
        <w:autoSpaceDE w:val="0"/>
        <w:autoSpaceDN w:val="0"/>
        <w:adjustRightInd w:val="0"/>
        <w:rPr>
          <w:rFonts w:eastAsia="PalatinoLinotype-Roman" w:cstheme="minorHAnsi"/>
          <w:lang w:val="de-CH" w:eastAsia="de-CH"/>
        </w:rPr>
      </w:pPr>
      <w:r w:rsidRPr="00F95A62">
        <w:rPr>
          <w:rFonts w:eastAsia="PalatinoLinotype-Roman" w:cstheme="minorHAnsi"/>
          <w:lang w:val="de-CH" w:eastAsia="de-CH"/>
        </w:rPr>
        <w:t xml:space="preserve">3. Während der Regierung </w:t>
      </w:r>
      <w:proofErr w:type="spellStart"/>
      <w:r w:rsidRPr="00F95A62">
        <w:rPr>
          <w:rFonts w:eastAsia="PalatinoLinotype-Roman" w:cstheme="minorHAnsi"/>
          <w:lang w:val="de-CH" w:eastAsia="de-CH"/>
        </w:rPr>
        <w:t>Pekachs</w:t>
      </w:r>
      <w:proofErr w:type="spellEnd"/>
      <w:r w:rsidRPr="00F95A62">
        <w:rPr>
          <w:rFonts w:eastAsia="PalatinoLinotype-Roman" w:cstheme="minorHAnsi"/>
          <w:lang w:val="de-CH" w:eastAsia="de-CH"/>
        </w:rPr>
        <w:t xml:space="preserve"> eroberte Tiglat-Pileser</w:t>
      </w:r>
      <w:r>
        <w:rPr>
          <w:rFonts w:eastAsia="PalatinoLinotype-Roman" w:cstheme="minorHAnsi"/>
          <w:lang w:val="de-CH" w:eastAsia="de-CH"/>
        </w:rPr>
        <w:t xml:space="preserve"> III</w:t>
      </w:r>
      <w:r w:rsidRPr="00F95A62">
        <w:rPr>
          <w:rFonts w:eastAsia="PalatinoLinotype-Roman" w:cstheme="minorHAnsi"/>
          <w:lang w:val="de-CH" w:eastAsia="de-CH"/>
        </w:rPr>
        <w:t xml:space="preserve"> Städte in Naftali und führte die Einwohner nach Assyrien (2Kö 15,29). Er eroberte auch das Land östlich des Jordans und deportierte die dort lebenden zweieinhalb Stämme um 740 v.Chr. nach Mesopotamien (1Chr 5,26). Er lie</w:t>
      </w:r>
      <w:r>
        <w:rPr>
          <w:rFonts w:eastAsia="PalatinoLinotype-Roman" w:cstheme="minorHAnsi"/>
          <w:lang w:val="de-CH" w:eastAsia="de-CH"/>
        </w:rPr>
        <w:t>ss</w:t>
      </w:r>
      <w:r w:rsidRPr="00F95A62">
        <w:rPr>
          <w:rFonts w:eastAsia="PalatinoLinotype-Roman" w:cstheme="minorHAnsi"/>
          <w:lang w:val="de-CH" w:eastAsia="de-CH"/>
        </w:rPr>
        <w:t xml:space="preserve"> auch zu, dass Pekach ermordet wurde und Ho</w:t>
      </w:r>
      <w:r>
        <w:rPr>
          <w:rFonts w:eastAsia="PalatinoLinotype-Roman" w:cstheme="minorHAnsi"/>
          <w:lang w:val="de-CH" w:eastAsia="de-CH"/>
        </w:rPr>
        <w:t>s</w:t>
      </w:r>
      <w:r w:rsidRPr="00F95A62">
        <w:rPr>
          <w:rFonts w:eastAsia="PalatinoLinotype-Roman" w:cstheme="minorHAnsi"/>
          <w:lang w:val="de-CH" w:eastAsia="de-CH"/>
        </w:rPr>
        <w:t>ea seinen Thron einnahm.</w:t>
      </w:r>
    </w:p>
    <w:p w14:paraId="229C83F5" w14:textId="77777777" w:rsidR="0076218B" w:rsidRPr="00F95A62" w:rsidRDefault="0076218B" w:rsidP="0076218B">
      <w:pPr>
        <w:autoSpaceDE w:val="0"/>
        <w:autoSpaceDN w:val="0"/>
        <w:adjustRightInd w:val="0"/>
        <w:rPr>
          <w:rFonts w:eastAsia="PalatinoLinotype-Roman" w:cstheme="minorHAnsi"/>
          <w:lang w:val="de-CH" w:eastAsia="de-CH"/>
        </w:rPr>
      </w:pPr>
      <w:r w:rsidRPr="00F95A62">
        <w:rPr>
          <w:rFonts w:eastAsia="PalatinoLinotype-Roman" w:cstheme="minorHAnsi"/>
          <w:lang w:val="de-CH" w:eastAsia="de-CH"/>
        </w:rPr>
        <w:t>4. Hosea wurde Salmanassars</w:t>
      </w:r>
      <w:r>
        <w:rPr>
          <w:rFonts w:eastAsia="PalatinoLinotype-Roman" w:cstheme="minorHAnsi"/>
          <w:lang w:val="de-CH" w:eastAsia="de-CH"/>
        </w:rPr>
        <w:t xml:space="preserve"> V</w:t>
      </w:r>
      <w:r w:rsidRPr="00F95A62">
        <w:rPr>
          <w:rFonts w:eastAsia="PalatinoLinotype-Roman" w:cstheme="minorHAnsi"/>
          <w:lang w:val="de-CH" w:eastAsia="de-CH"/>
        </w:rPr>
        <w:t xml:space="preserve"> Knecht und zahlte ihm Tribut, doch plante er einen Aufstand gegen ihn und</w:t>
      </w:r>
      <w:r>
        <w:rPr>
          <w:rFonts w:eastAsia="PalatinoLinotype-Roman" w:cstheme="minorHAnsi"/>
          <w:lang w:val="de-CH" w:eastAsia="de-CH"/>
        </w:rPr>
        <w:t xml:space="preserve"> </w:t>
      </w:r>
      <w:r w:rsidRPr="00F95A62">
        <w:rPr>
          <w:rFonts w:eastAsia="PalatinoLinotype-Roman" w:cstheme="minorHAnsi"/>
          <w:lang w:val="de-CH" w:eastAsia="de-CH"/>
        </w:rPr>
        <w:t>sandte Geschenke nach Ägypten, um Verbündete zu gewinnen, mit deren Hilfe er das assyrische Joch zerbrechen konnte (2Kö 17,3-4).</w:t>
      </w:r>
    </w:p>
    <w:p w14:paraId="697F0034" w14:textId="77777777" w:rsidR="0076218B" w:rsidRPr="00F95A62" w:rsidRDefault="0076218B" w:rsidP="0076218B">
      <w:pPr>
        <w:autoSpaceDE w:val="0"/>
        <w:autoSpaceDN w:val="0"/>
        <w:adjustRightInd w:val="0"/>
        <w:rPr>
          <w:rFonts w:cstheme="minorHAnsi"/>
        </w:rPr>
      </w:pPr>
      <w:r w:rsidRPr="00F95A62">
        <w:rPr>
          <w:rFonts w:eastAsia="PalatinoLinotype-Roman" w:cstheme="minorHAnsi"/>
          <w:lang w:val="de-CH" w:eastAsia="de-CH"/>
        </w:rPr>
        <w:t>5. Salmanassar</w:t>
      </w:r>
      <w:r>
        <w:rPr>
          <w:rFonts w:eastAsia="PalatinoLinotype-Roman" w:cstheme="minorHAnsi"/>
          <w:lang w:val="de-CH" w:eastAsia="de-CH"/>
        </w:rPr>
        <w:t xml:space="preserve"> V</w:t>
      </w:r>
      <w:r w:rsidRPr="00F95A62">
        <w:rPr>
          <w:rFonts w:eastAsia="PalatinoLinotype-Roman" w:cstheme="minorHAnsi"/>
          <w:lang w:val="de-CH" w:eastAsia="de-CH"/>
        </w:rPr>
        <w:t xml:space="preserve"> belagerte Samaria. Im ersten Regierungsjahr Sargons, 722 oder 721 v.Chr., wurde die Stadt erobert. Viele Menschen wurden nach Mesopotamien und Medien verschleppt (2Kö 17,5-6.18). Der Rest musste Tribut zahlen.</w:t>
      </w:r>
    </w:p>
    <w:p w14:paraId="4837BF8E" w14:textId="77777777" w:rsidR="0076218B" w:rsidRDefault="0076218B" w:rsidP="0076218B">
      <w:pPr>
        <w:pStyle w:val="KeinLeerraum"/>
      </w:pPr>
    </w:p>
    <w:p w14:paraId="1DBC7D4F" w14:textId="77777777" w:rsidR="0076218B" w:rsidRPr="009E2090" w:rsidRDefault="0076218B" w:rsidP="0076218B">
      <w:pPr>
        <w:pStyle w:val="KeinLeerraum"/>
        <w:rPr>
          <w:rFonts w:asciiTheme="minorHAnsi" w:hAnsiTheme="minorHAnsi" w:cstheme="minorHAnsi"/>
          <w:szCs w:val="24"/>
        </w:rPr>
      </w:pPr>
    </w:p>
    <w:p w14:paraId="6320078E" w14:textId="77777777" w:rsidR="0076218B" w:rsidRPr="000C387B" w:rsidRDefault="0076218B" w:rsidP="0076218B">
      <w:pPr>
        <w:pStyle w:val="KeinLeerraum"/>
        <w:rPr>
          <w:rFonts w:asciiTheme="minorHAnsi" w:hAnsiTheme="minorHAnsi" w:cstheme="minorHAnsi"/>
          <w:b/>
          <w:szCs w:val="24"/>
        </w:rPr>
      </w:pPr>
      <w:r w:rsidRPr="000C387B">
        <w:rPr>
          <w:rFonts w:asciiTheme="minorHAnsi" w:hAnsiTheme="minorHAnsi" w:cstheme="minorHAnsi"/>
          <w:b/>
          <w:szCs w:val="24"/>
        </w:rPr>
        <w:t>Babel</w:t>
      </w:r>
    </w:p>
    <w:p w14:paraId="3AD63678" w14:textId="3927E184"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lastRenderedPageBreak/>
        <w:t>Assyrien hatte das Nordreich zerstört und Juda und Jerusalem bedroht,</w:t>
      </w:r>
      <w:r>
        <w:rPr>
          <w:rFonts w:asciiTheme="minorHAnsi" w:hAnsiTheme="minorHAnsi" w:cstheme="minorHAnsi"/>
          <w:szCs w:val="24"/>
        </w:rPr>
        <w:t xml:space="preserve"> </w:t>
      </w:r>
      <w:r w:rsidRPr="009E2090">
        <w:rPr>
          <w:rFonts w:asciiTheme="minorHAnsi" w:hAnsiTheme="minorHAnsi" w:cstheme="minorHAnsi"/>
          <w:szCs w:val="24"/>
        </w:rPr>
        <w:t xml:space="preserve">aber es war Babel, das </w:t>
      </w:r>
      <w:proofErr w:type="gramStart"/>
      <w:r w:rsidRPr="009E2090">
        <w:rPr>
          <w:rFonts w:asciiTheme="minorHAnsi" w:hAnsiTheme="minorHAnsi" w:cstheme="minorHAnsi"/>
          <w:szCs w:val="24"/>
        </w:rPr>
        <w:t xml:space="preserve">das </w:t>
      </w:r>
      <w:r>
        <w:rPr>
          <w:rFonts w:asciiTheme="minorHAnsi" w:hAnsiTheme="minorHAnsi" w:cstheme="minorHAnsi"/>
          <w:szCs w:val="24"/>
        </w:rPr>
        <w:t>S</w:t>
      </w:r>
      <w:r w:rsidRPr="009E2090">
        <w:rPr>
          <w:rFonts w:asciiTheme="minorHAnsi" w:hAnsiTheme="minorHAnsi" w:cstheme="minorHAnsi"/>
          <w:szCs w:val="24"/>
        </w:rPr>
        <w:t>üdreich</w:t>
      </w:r>
      <w:proofErr w:type="gramEnd"/>
      <w:r w:rsidRPr="009E2090">
        <w:rPr>
          <w:rFonts w:asciiTheme="minorHAnsi" w:hAnsiTheme="minorHAnsi" w:cstheme="minorHAnsi"/>
          <w:szCs w:val="24"/>
        </w:rPr>
        <w:t xml:space="preserve"> zerstören und Jerusalem</w:t>
      </w:r>
      <w:r>
        <w:rPr>
          <w:rFonts w:asciiTheme="minorHAnsi" w:hAnsiTheme="minorHAnsi" w:cstheme="minorHAnsi"/>
          <w:szCs w:val="24"/>
        </w:rPr>
        <w:t xml:space="preserve"> </w:t>
      </w:r>
      <w:r w:rsidRPr="009E2090">
        <w:rPr>
          <w:rFonts w:asciiTheme="minorHAnsi" w:hAnsiTheme="minorHAnsi" w:cstheme="minorHAnsi"/>
          <w:szCs w:val="24"/>
        </w:rPr>
        <w:t>ins Exil führen sollte. Entsprechend gro</w:t>
      </w:r>
      <w:r w:rsidR="00564C19">
        <w:rPr>
          <w:rFonts w:asciiTheme="minorHAnsi" w:hAnsiTheme="minorHAnsi" w:cstheme="minorHAnsi"/>
          <w:szCs w:val="24"/>
        </w:rPr>
        <w:t>ss</w:t>
      </w:r>
      <w:r w:rsidRPr="009E2090">
        <w:rPr>
          <w:rFonts w:asciiTheme="minorHAnsi" w:hAnsiTheme="minorHAnsi" w:cstheme="minorHAnsi"/>
          <w:szCs w:val="24"/>
        </w:rPr>
        <w:t>es Gewicht hat Babel in den</w:t>
      </w:r>
      <w:r w:rsidR="00564C19">
        <w:rPr>
          <w:rFonts w:asciiTheme="minorHAnsi" w:hAnsiTheme="minorHAnsi" w:cstheme="minorHAnsi"/>
          <w:szCs w:val="24"/>
        </w:rPr>
        <w:t xml:space="preserve"> </w:t>
      </w:r>
      <w:r w:rsidRPr="009E2090">
        <w:rPr>
          <w:rFonts w:asciiTheme="minorHAnsi" w:hAnsiTheme="minorHAnsi" w:cstheme="minorHAnsi"/>
          <w:szCs w:val="24"/>
        </w:rPr>
        <w:t>Weissagungen Jesajas. Im ersten Teil des Buches (Kp 1-35) spielt</w:t>
      </w:r>
      <w:r>
        <w:rPr>
          <w:rFonts w:asciiTheme="minorHAnsi" w:hAnsiTheme="minorHAnsi" w:cstheme="minorHAnsi"/>
          <w:szCs w:val="24"/>
        </w:rPr>
        <w:t xml:space="preserve"> </w:t>
      </w:r>
      <w:r w:rsidRPr="009E2090">
        <w:rPr>
          <w:rFonts w:asciiTheme="minorHAnsi" w:hAnsiTheme="minorHAnsi" w:cstheme="minorHAnsi"/>
          <w:szCs w:val="24"/>
        </w:rPr>
        <w:t>Assyrien die Hauptrolle, im dritten Teil (K</w:t>
      </w:r>
      <w:r>
        <w:rPr>
          <w:rFonts w:asciiTheme="minorHAnsi" w:hAnsiTheme="minorHAnsi" w:cstheme="minorHAnsi"/>
          <w:szCs w:val="24"/>
        </w:rPr>
        <w:t>p</w:t>
      </w:r>
      <w:r w:rsidRPr="009E2090">
        <w:rPr>
          <w:rFonts w:asciiTheme="minorHAnsi" w:hAnsiTheme="minorHAnsi" w:cstheme="minorHAnsi"/>
          <w:szCs w:val="24"/>
        </w:rPr>
        <w:t xml:space="preserve"> 40-66) hingegen Babel.</w:t>
      </w:r>
      <w:r>
        <w:rPr>
          <w:rFonts w:asciiTheme="minorHAnsi" w:hAnsiTheme="minorHAnsi" w:cstheme="minorHAnsi"/>
          <w:szCs w:val="24"/>
        </w:rPr>
        <w:t xml:space="preserve"> </w:t>
      </w:r>
      <w:r w:rsidRPr="009E2090">
        <w:rPr>
          <w:rFonts w:asciiTheme="minorHAnsi" w:hAnsiTheme="minorHAnsi" w:cstheme="minorHAnsi"/>
          <w:szCs w:val="24"/>
        </w:rPr>
        <w:t>Das Mittelstück (K</w:t>
      </w:r>
      <w:r>
        <w:rPr>
          <w:rFonts w:asciiTheme="minorHAnsi" w:hAnsiTheme="minorHAnsi" w:cstheme="minorHAnsi"/>
          <w:szCs w:val="24"/>
        </w:rPr>
        <w:t>p</w:t>
      </w:r>
      <w:r w:rsidRPr="009E2090">
        <w:rPr>
          <w:rFonts w:asciiTheme="minorHAnsi" w:hAnsiTheme="minorHAnsi" w:cstheme="minorHAnsi"/>
          <w:szCs w:val="24"/>
        </w:rPr>
        <w:t xml:space="preserve"> 36-39) handelt zuerst von Assyrien (K</w:t>
      </w:r>
      <w:r>
        <w:rPr>
          <w:rFonts w:asciiTheme="minorHAnsi" w:hAnsiTheme="minorHAnsi" w:cstheme="minorHAnsi"/>
          <w:szCs w:val="24"/>
        </w:rPr>
        <w:t>p</w:t>
      </w:r>
      <w:r w:rsidRPr="009E2090">
        <w:rPr>
          <w:rFonts w:asciiTheme="minorHAnsi" w:hAnsiTheme="minorHAnsi" w:cstheme="minorHAnsi"/>
          <w:szCs w:val="24"/>
        </w:rPr>
        <w:t xml:space="preserve"> 36</w:t>
      </w:r>
    </w:p>
    <w:p w14:paraId="46F45AA2" w14:textId="4A0349F6"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und 37) und am Schluss von Babel (K</w:t>
      </w:r>
      <w:r>
        <w:rPr>
          <w:rFonts w:asciiTheme="minorHAnsi" w:hAnsiTheme="minorHAnsi" w:cstheme="minorHAnsi"/>
          <w:szCs w:val="24"/>
        </w:rPr>
        <w:t>p</w:t>
      </w:r>
      <w:r w:rsidRPr="009E2090">
        <w:rPr>
          <w:rFonts w:asciiTheme="minorHAnsi" w:hAnsiTheme="minorHAnsi" w:cstheme="minorHAnsi"/>
          <w:szCs w:val="24"/>
        </w:rPr>
        <w:t xml:space="preserve"> 39) und schlägt so die Brücke</w:t>
      </w:r>
      <w:r>
        <w:rPr>
          <w:rFonts w:asciiTheme="minorHAnsi" w:hAnsiTheme="minorHAnsi" w:cstheme="minorHAnsi"/>
          <w:szCs w:val="24"/>
        </w:rPr>
        <w:t xml:space="preserve"> </w:t>
      </w:r>
      <w:r w:rsidRPr="009E2090">
        <w:rPr>
          <w:rFonts w:asciiTheme="minorHAnsi" w:hAnsiTheme="minorHAnsi" w:cstheme="minorHAnsi"/>
          <w:szCs w:val="24"/>
        </w:rPr>
        <w:t>zwischen dem ersten und dem dritten Teil des Buches.</w:t>
      </w:r>
    </w:p>
    <w:p w14:paraId="2745C5CE" w14:textId="77777777" w:rsidR="0076218B" w:rsidRDefault="0076218B" w:rsidP="0076218B">
      <w:pPr>
        <w:pStyle w:val="KeinLeerraum"/>
        <w:rPr>
          <w:rFonts w:asciiTheme="minorHAnsi" w:hAnsiTheme="minorHAnsi" w:cstheme="minorHAnsi"/>
          <w:szCs w:val="24"/>
        </w:rPr>
      </w:pPr>
    </w:p>
    <w:tbl>
      <w:tblPr>
        <w:tblW w:w="0" w:type="auto"/>
        <w:tblLook w:val="04A0" w:firstRow="1" w:lastRow="0" w:firstColumn="1" w:lastColumn="0" w:noHBand="0" w:noVBand="1"/>
      </w:tblPr>
      <w:tblGrid>
        <w:gridCol w:w="2635"/>
        <w:gridCol w:w="2670"/>
        <w:gridCol w:w="2118"/>
        <w:gridCol w:w="2601"/>
      </w:tblGrid>
      <w:tr w:rsidR="0076218B" w14:paraId="1DB6EC90" w14:textId="77777777" w:rsidTr="00591802">
        <w:tc>
          <w:tcPr>
            <w:tcW w:w="2635" w:type="dxa"/>
            <w:shd w:val="clear" w:color="auto" w:fill="DEEAF6" w:themeFill="accent1" w:themeFillTint="33"/>
          </w:tcPr>
          <w:p w14:paraId="3AC23838" w14:textId="77777777" w:rsidR="0076218B" w:rsidRDefault="0076218B" w:rsidP="00825E51">
            <w:pPr>
              <w:pStyle w:val="KeinLeerraum"/>
              <w:jc w:val="center"/>
              <w:rPr>
                <w:rFonts w:asciiTheme="minorHAnsi" w:hAnsiTheme="minorHAnsi" w:cstheme="minorHAnsi"/>
                <w:szCs w:val="24"/>
              </w:rPr>
            </w:pPr>
            <w:proofErr w:type="spellStart"/>
            <w:r>
              <w:rPr>
                <w:rFonts w:asciiTheme="minorHAnsi" w:hAnsiTheme="minorHAnsi" w:cstheme="minorHAnsi"/>
                <w:szCs w:val="24"/>
              </w:rPr>
              <w:t>Nabopalasser</w:t>
            </w:r>
            <w:proofErr w:type="spellEnd"/>
          </w:p>
          <w:p w14:paraId="47F381A7"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 xml:space="preserve">626 – 605 </w:t>
            </w:r>
            <w:r>
              <w:t>v.Chr.</w:t>
            </w:r>
          </w:p>
        </w:tc>
        <w:tc>
          <w:tcPr>
            <w:tcW w:w="2670" w:type="dxa"/>
          </w:tcPr>
          <w:p w14:paraId="63C1BE2E"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Nebukadnezar</w:t>
            </w:r>
          </w:p>
          <w:p w14:paraId="1AA9D4BD"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 xml:space="preserve">605 – 562 </w:t>
            </w:r>
            <w:r>
              <w:t>v.Chr.</w:t>
            </w:r>
          </w:p>
        </w:tc>
        <w:tc>
          <w:tcPr>
            <w:tcW w:w="2118" w:type="dxa"/>
            <w:shd w:val="clear" w:color="auto" w:fill="DEEAF6" w:themeFill="accent1" w:themeFillTint="33"/>
          </w:tcPr>
          <w:p w14:paraId="00530AF7" w14:textId="77777777" w:rsidR="0076218B" w:rsidRDefault="0076218B" w:rsidP="00825E51">
            <w:pPr>
              <w:pStyle w:val="KeinLeerraum"/>
              <w:jc w:val="center"/>
              <w:rPr>
                <w:rFonts w:asciiTheme="minorHAnsi" w:hAnsiTheme="minorHAnsi" w:cstheme="minorHAnsi"/>
                <w:szCs w:val="24"/>
              </w:rPr>
            </w:pPr>
            <w:proofErr w:type="spellStart"/>
            <w:r>
              <w:rPr>
                <w:rFonts w:asciiTheme="minorHAnsi" w:hAnsiTheme="minorHAnsi" w:cstheme="minorHAnsi"/>
                <w:szCs w:val="24"/>
              </w:rPr>
              <w:t>Ewil-Merodach</w:t>
            </w:r>
            <w:proofErr w:type="spellEnd"/>
          </w:p>
          <w:p w14:paraId="0CD850F8"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 xml:space="preserve">562 - 560 </w:t>
            </w:r>
            <w:r>
              <w:t>v.Chr.</w:t>
            </w:r>
          </w:p>
        </w:tc>
        <w:tc>
          <w:tcPr>
            <w:tcW w:w="2601" w:type="dxa"/>
          </w:tcPr>
          <w:p w14:paraId="61A6E627" w14:textId="77777777" w:rsidR="0076218B" w:rsidRDefault="0076218B" w:rsidP="00825E51">
            <w:pPr>
              <w:pStyle w:val="KeinLeerraum"/>
              <w:jc w:val="center"/>
              <w:rPr>
                <w:rFonts w:asciiTheme="minorHAnsi" w:hAnsiTheme="minorHAnsi" w:cstheme="minorHAnsi"/>
                <w:szCs w:val="24"/>
              </w:rPr>
            </w:pPr>
            <w:proofErr w:type="spellStart"/>
            <w:r>
              <w:rPr>
                <w:rFonts w:asciiTheme="minorHAnsi" w:hAnsiTheme="minorHAnsi" w:cstheme="minorHAnsi"/>
                <w:szCs w:val="24"/>
              </w:rPr>
              <w:t>Nabonid</w:t>
            </w:r>
            <w:proofErr w:type="spellEnd"/>
          </w:p>
          <w:p w14:paraId="5AD846E4"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556 - 539</w:t>
            </w:r>
          </w:p>
          <w:p w14:paraId="3624767D" w14:textId="77777777" w:rsidR="0076218B" w:rsidRDefault="0076218B" w:rsidP="00825E51">
            <w:pPr>
              <w:pStyle w:val="KeinLeerraum"/>
              <w:jc w:val="center"/>
              <w:rPr>
                <w:rFonts w:asciiTheme="minorHAnsi" w:hAnsiTheme="minorHAnsi" w:cstheme="minorHAnsi"/>
                <w:szCs w:val="24"/>
              </w:rPr>
            </w:pPr>
            <w:proofErr w:type="spellStart"/>
            <w:r>
              <w:rPr>
                <w:rFonts w:asciiTheme="minorHAnsi" w:hAnsiTheme="minorHAnsi" w:cstheme="minorHAnsi"/>
                <w:szCs w:val="24"/>
              </w:rPr>
              <w:t>Belshazar</w:t>
            </w:r>
            <w:proofErr w:type="spellEnd"/>
            <w:r>
              <w:rPr>
                <w:rFonts w:asciiTheme="minorHAnsi" w:hAnsiTheme="minorHAnsi" w:cstheme="minorHAnsi"/>
                <w:szCs w:val="24"/>
              </w:rPr>
              <w:t xml:space="preserve"> (Unterkönig)</w:t>
            </w:r>
          </w:p>
          <w:p w14:paraId="2FE27533"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 xml:space="preserve">553 - 539 </w:t>
            </w:r>
            <w:r>
              <w:t>v.Chr.</w:t>
            </w:r>
          </w:p>
        </w:tc>
      </w:tr>
      <w:tr w:rsidR="0076218B" w14:paraId="36EFE482" w14:textId="77777777" w:rsidTr="00591802">
        <w:tc>
          <w:tcPr>
            <w:tcW w:w="2635" w:type="dxa"/>
            <w:shd w:val="clear" w:color="auto" w:fill="DEEAF6" w:themeFill="accent1" w:themeFillTint="33"/>
          </w:tcPr>
          <w:p w14:paraId="0D9E0B49" w14:textId="77777777" w:rsidR="0076218B" w:rsidRDefault="0076218B" w:rsidP="00825E51">
            <w:pPr>
              <w:pStyle w:val="KeinLeerraum"/>
              <w:jc w:val="center"/>
              <w:rPr>
                <w:rFonts w:asciiTheme="minorHAnsi" w:hAnsiTheme="minorHAnsi" w:cstheme="minorHAnsi"/>
                <w:szCs w:val="24"/>
              </w:rPr>
            </w:pPr>
          </w:p>
        </w:tc>
        <w:tc>
          <w:tcPr>
            <w:tcW w:w="2670" w:type="dxa"/>
          </w:tcPr>
          <w:p w14:paraId="0323A120" w14:textId="77777777" w:rsidR="0076218B" w:rsidRDefault="0076218B" w:rsidP="00825E51">
            <w:pPr>
              <w:pStyle w:val="KeinLeerraum"/>
              <w:jc w:val="center"/>
              <w:rPr>
                <w:rFonts w:asciiTheme="minorHAnsi" w:hAnsiTheme="minorHAnsi" w:cstheme="minorHAnsi"/>
                <w:szCs w:val="24"/>
              </w:rPr>
            </w:pPr>
          </w:p>
        </w:tc>
        <w:tc>
          <w:tcPr>
            <w:tcW w:w="2118" w:type="dxa"/>
            <w:shd w:val="clear" w:color="auto" w:fill="DEEAF6" w:themeFill="accent1" w:themeFillTint="33"/>
          </w:tcPr>
          <w:p w14:paraId="08E9058C"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2Kö 25,27-30</w:t>
            </w:r>
          </w:p>
        </w:tc>
        <w:tc>
          <w:tcPr>
            <w:tcW w:w="2601" w:type="dxa"/>
          </w:tcPr>
          <w:p w14:paraId="6E8672D2" w14:textId="77777777" w:rsidR="0076218B" w:rsidRDefault="0076218B" w:rsidP="00825E51">
            <w:pPr>
              <w:pStyle w:val="KeinLeerraum"/>
              <w:jc w:val="center"/>
              <w:rPr>
                <w:rFonts w:asciiTheme="minorHAnsi" w:hAnsiTheme="minorHAnsi" w:cstheme="minorHAnsi"/>
                <w:szCs w:val="24"/>
              </w:rPr>
            </w:pPr>
            <w:r>
              <w:rPr>
                <w:rFonts w:asciiTheme="minorHAnsi" w:hAnsiTheme="minorHAnsi" w:cstheme="minorHAnsi"/>
                <w:szCs w:val="24"/>
              </w:rPr>
              <w:t>Dan 4 / Dan 5</w:t>
            </w:r>
          </w:p>
        </w:tc>
      </w:tr>
    </w:tbl>
    <w:p w14:paraId="2C1E0E18" w14:textId="77777777" w:rsidR="0076218B" w:rsidRDefault="0076218B" w:rsidP="0076218B">
      <w:pPr>
        <w:pStyle w:val="KeinLeerraum"/>
        <w:rPr>
          <w:rFonts w:asciiTheme="minorHAnsi" w:hAnsiTheme="minorHAnsi" w:cstheme="minorHAnsi"/>
          <w:szCs w:val="24"/>
        </w:rPr>
      </w:pPr>
    </w:p>
    <w:p w14:paraId="237E6F96" w14:textId="77777777" w:rsidR="0076218B" w:rsidRPr="000C387B" w:rsidRDefault="0076218B" w:rsidP="0076218B">
      <w:pPr>
        <w:pStyle w:val="KeinLeerraum"/>
        <w:rPr>
          <w:rFonts w:asciiTheme="minorHAnsi" w:hAnsiTheme="minorHAnsi" w:cstheme="minorHAnsi"/>
          <w:b/>
          <w:szCs w:val="24"/>
        </w:rPr>
      </w:pPr>
      <w:r w:rsidRPr="000C387B">
        <w:rPr>
          <w:rFonts w:asciiTheme="minorHAnsi" w:hAnsiTheme="minorHAnsi" w:cstheme="minorHAnsi"/>
          <w:b/>
          <w:szCs w:val="24"/>
        </w:rPr>
        <w:t>Ägypten</w:t>
      </w:r>
    </w:p>
    <w:p w14:paraId="448B87F0" w14:textId="7ABE9545"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Seit Salomo bestanden freundschaftliche Beziehungen zu Ägypten</w:t>
      </w:r>
      <w:r>
        <w:rPr>
          <w:rFonts w:asciiTheme="minorHAnsi" w:hAnsiTheme="minorHAnsi" w:cstheme="minorHAnsi"/>
          <w:szCs w:val="24"/>
        </w:rPr>
        <w:t xml:space="preserve"> </w:t>
      </w:r>
      <w:r w:rsidRPr="009E2090">
        <w:rPr>
          <w:rFonts w:asciiTheme="minorHAnsi" w:hAnsiTheme="minorHAnsi" w:cstheme="minorHAnsi"/>
          <w:szCs w:val="24"/>
        </w:rPr>
        <w:t>(1Kö 3,1). Diese waren allerdings nicht frei von Gefahren. Oft lie</w:t>
      </w:r>
      <w:r w:rsidR="00564C19">
        <w:rPr>
          <w:rFonts w:asciiTheme="minorHAnsi" w:hAnsiTheme="minorHAnsi" w:cstheme="minorHAnsi"/>
          <w:szCs w:val="24"/>
        </w:rPr>
        <w:t>ss</w:t>
      </w:r>
      <w:r>
        <w:rPr>
          <w:rFonts w:asciiTheme="minorHAnsi" w:hAnsiTheme="minorHAnsi" w:cstheme="minorHAnsi"/>
          <w:szCs w:val="24"/>
        </w:rPr>
        <w:t xml:space="preserve"> </w:t>
      </w:r>
      <w:r w:rsidRPr="009E2090">
        <w:rPr>
          <w:rFonts w:asciiTheme="minorHAnsi" w:hAnsiTheme="minorHAnsi" w:cstheme="minorHAnsi"/>
          <w:szCs w:val="24"/>
        </w:rPr>
        <w:t>sich Juda von der Macht und vom Reichtum Ägyptens blenden und</w:t>
      </w:r>
    </w:p>
    <w:p w14:paraId="37EACFBD" w14:textId="77777777"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hoffte auf dessen Hilfe statt auf den HERRN. Dieses falsche Vertrauen</w:t>
      </w:r>
      <w:r>
        <w:rPr>
          <w:rFonts w:asciiTheme="minorHAnsi" w:hAnsiTheme="minorHAnsi" w:cstheme="minorHAnsi"/>
          <w:szCs w:val="24"/>
        </w:rPr>
        <w:t xml:space="preserve"> </w:t>
      </w:r>
      <w:r w:rsidRPr="009E2090">
        <w:rPr>
          <w:rFonts w:asciiTheme="minorHAnsi" w:hAnsiTheme="minorHAnsi" w:cstheme="minorHAnsi"/>
          <w:szCs w:val="24"/>
        </w:rPr>
        <w:t>wird von dem Propheten gerügt (Jes 20,1-6; 30,1-5; 31,1- 3). Es</w:t>
      </w:r>
      <w:r>
        <w:rPr>
          <w:rFonts w:asciiTheme="minorHAnsi" w:hAnsiTheme="minorHAnsi" w:cstheme="minorHAnsi"/>
          <w:szCs w:val="24"/>
        </w:rPr>
        <w:t xml:space="preserve"> </w:t>
      </w:r>
      <w:r w:rsidRPr="009E2090">
        <w:rPr>
          <w:rFonts w:asciiTheme="minorHAnsi" w:hAnsiTheme="minorHAnsi" w:cstheme="minorHAnsi"/>
          <w:szCs w:val="24"/>
        </w:rPr>
        <w:t xml:space="preserve">brachte keine Hilfe, sondern Verderben: So nahm der Pharao </w:t>
      </w:r>
      <w:proofErr w:type="spellStart"/>
      <w:r w:rsidRPr="009E2090">
        <w:rPr>
          <w:rFonts w:asciiTheme="minorHAnsi" w:hAnsiTheme="minorHAnsi" w:cstheme="minorHAnsi"/>
          <w:szCs w:val="24"/>
        </w:rPr>
        <w:t>Ne</w:t>
      </w:r>
      <w:r>
        <w:rPr>
          <w:rFonts w:asciiTheme="minorHAnsi" w:hAnsiTheme="minorHAnsi" w:cstheme="minorHAnsi"/>
          <w:szCs w:val="24"/>
        </w:rPr>
        <w:t>ch</w:t>
      </w:r>
      <w:r w:rsidRPr="009E2090">
        <w:rPr>
          <w:rFonts w:asciiTheme="minorHAnsi" w:hAnsiTheme="minorHAnsi" w:cstheme="minorHAnsi"/>
          <w:szCs w:val="24"/>
        </w:rPr>
        <w:t>o</w:t>
      </w:r>
      <w:proofErr w:type="spellEnd"/>
    </w:p>
    <w:p w14:paraId="46305F6D" w14:textId="3AC8D861"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 xml:space="preserve">den jüdischen König </w:t>
      </w:r>
      <w:proofErr w:type="spellStart"/>
      <w:r w:rsidRPr="009E2090">
        <w:rPr>
          <w:rFonts w:asciiTheme="minorHAnsi" w:hAnsiTheme="minorHAnsi" w:cstheme="minorHAnsi"/>
          <w:szCs w:val="24"/>
        </w:rPr>
        <w:t>Joahas</w:t>
      </w:r>
      <w:proofErr w:type="spellEnd"/>
      <w:r w:rsidRPr="009E2090">
        <w:rPr>
          <w:rFonts w:asciiTheme="minorHAnsi" w:hAnsiTheme="minorHAnsi" w:cstheme="minorHAnsi"/>
          <w:szCs w:val="24"/>
        </w:rPr>
        <w:t xml:space="preserve"> gefangen mit nach Ägypten, legte dem</w:t>
      </w:r>
      <w:r>
        <w:rPr>
          <w:rFonts w:asciiTheme="minorHAnsi" w:hAnsiTheme="minorHAnsi" w:cstheme="minorHAnsi"/>
          <w:szCs w:val="24"/>
        </w:rPr>
        <w:t xml:space="preserve"> </w:t>
      </w:r>
      <w:r w:rsidRPr="009E2090">
        <w:rPr>
          <w:rFonts w:asciiTheme="minorHAnsi" w:hAnsiTheme="minorHAnsi" w:cstheme="minorHAnsi"/>
          <w:szCs w:val="24"/>
        </w:rPr>
        <w:t>einen hohen Tribut auf und setzte einen neuen König ein, dem</w:t>
      </w:r>
      <w:r>
        <w:rPr>
          <w:rFonts w:asciiTheme="minorHAnsi" w:hAnsiTheme="minorHAnsi" w:cstheme="minorHAnsi"/>
          <w:szCs w:val="24"/>
        </w:rPr>
        <w:t xml:space="preserve"> </w:t>
      </w:r>
      <w:r w:rsidRPr="009E2090">
        <w:rPr>
          <w:rFonts w:asciiTheme="minorHAnsi" w:hAnsiTheme="minorHAnsi" w:cstheme="minorHAnsi"/>
          <w:szCs w:val="24"/>
        </w:rPr>
        <w:t>er einen neuen Namen gab</w:t>
      </w:r>
      <w:r w:rsidR="00564C19">
        <w:rPr>
          <w:rFonts w:asciiTheme="minorHAnsi" w:hAnsiTheme="minorHAnsi" w:cstheme="minorHAnsi"/>
          <w:szCs w:val="24"/>
        </w:rPr>
        <w:t xml:space="preserve"> (</w:t>
      </w:r>
      <w:proofErr w:type="spellStart"/>
      <w:r w:rsidR="00564C19">
        <w:rPr>
          <w:rFonts w:asciiTheme="minorHAnsi" w:hAnsiTheme="minorHAnsi" w:cstheme="minorHAnsi"/>
          <w:szCs w:val="24"/>
        </w:rPr>
        <w:t>Jojakim</w:t>
      </w:r>
      <w:proofErr w:type="spellEnd"/>
      <w:r w:rsidR="00564C19">
        <w:rPr>
          <w:rFonts w:asciiTheme="minorHAnsi" w:hAnsiTheme="minorHAnsi" w:cstheme="minorHAnsi"/>
          <w:szCs w:val="24"/>
        </w:rPr>
        <w:t>)</w:t>
      </w:r>
      <w:r w:rsidRPr="009E2090">
        <w:rPr>
          <w:rFonts w:asciiTheme="minorHAnsi" w:hAnsiTheme="minorHAnsi" w:cstheme="minorHAnsi"/>
          <w:szCs w:val="24"/>
        </w:rPr>
        <w:t xml:space="preserve"> (2Kö 23,31-35).</w:t>
      </w:r>
    </w:p>
    <w:p w14:paraId="48C9A34D" w14:textId="77777777" w:rsidR="0076218B" w:rsidRDefault="0076218B" w:rsidP="0076218B">
      <w:pPr>
        <w:pStyle w:val="KeinLeerraum"/>
        <w:rPr>
          <w:rFonts w:asciiTheme="minorHAnsi" w:hAnsiTheme="minorHAnsi" w:cstheme="minorHAnsi"/>
          <w:szCs w:val="24"/>
        </w:rPr>
      </w:pPr>
    </w:p>
    <w:p w14:paraId="32EEC8E6" w14:textId="097169AE"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Assyrien, Babel und Ägypten waren geographisch grö</w:t>
      </w:r>
      <w:r w:rsidR="00BD5C7E">
        <w:rPr>
          <w:rFonts w:asciiTheme="minorHAnsi" w:hAnsiTheme="minorHAnsi" w:cstheme="minorHAnsi"/>
          <w:szCs w:val="24"/>
        </w:rPr>
        <w:t>ss</w:t>
      </w:r>
      <w:r w:rsidRPr="009E2090">
        <w:rPr>
          <w:rFonts w:asciiTheme="minorHAnsi" w:hAnsiTheme="minorHAnsi" w:cstheme="minorHAnsi"/>
          <w:szCs w:val="24"/>
        </w:rPr>
        <w:t>er und militärisch</w:t>
      </w:r>
      <w:r>
        <w:rPr>
          <w:rFonts w:asciiTheme="minorHAnsi" w:hAnsiTheme="minorHAnsi" w:cstheme="minorHAnsi"/>
          <w:szCs w:val="24"/>
        </w:rPr>
        <w:t xml:space="preserve"> </w:t>
      </w:r>
      <w:r w:rsidRPr="009E2090">
        <w:rPr>
          <w:rFonts w:asciiTheme="minorHAnsi" w:hAnsiTheme="minorHAnsi" w:cstheme="minorHAnsi"/>
          <w:szCs w:val="24"/>
        </w:rPr>
        <w:t>weit stärker als das kleine Juda. Eingekeilt zwischen diesen</w:t>
      </w:r>
      <w:r>
        <w:rPr>
          <w:rFonts w:asciiTheme="minorHAnsi" w:hAnsiTheme="minorHAnsi" w:cstheme="minorHAnsi"/>
          <w:szCs w:val="24"/>
        </w:rPr>
        <w:t xml:space="preserve"> </w:t>
      </w:r>
      <w:r w:rsidRPr="009E2090">
        <w:rPr>
          <w:rFonts w:asciiTheme="minorHAnsi" w:hAnsiTheme="minorHAnsi" w:cstheme="minorHAnsi"/>
          <w:szCs w:val="24"/>
        </w:rPr>
        <w:t>drei Mächten wäre das Vertrauen auf den Gott Israels seine einzige</w:t>
      </w:r>
    </w:p>
    <w:p w14:paraId="0D9DEEE8" w14:textId="469D973D"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Sicherheit gewesen, aber gerade diese verschmähten die meisten</w:t>
      </w:r>
      <w:r>
        <w:rPr>
          <w:rFonts w:asciiTheme="minorHAnsi" w:hAnsiTheme="minorHAnsi" w:cstheme="minorHAnsi"/>
          <w:szCs w:val="24"/>
        </w:rPr>
        <w:t xml:space="preserve"> </w:t>
      </w:r>
      <w:r w:rsidRPr="009E2090">
        <w:rPr>
          <w:rFonts w:asciiTheme="minorHAnsi" w:hAnsiTheme="minorHAnsi" w:cstheme="minorHAnsi"/>
          <w:szCs w:val="24"/>
        </w:rPr>
        <w:t>Könige in Jerusalem (siehe Jes 8,6; 30,15.16). Sie suchten ihre</w:t>
      </w:r>
      <w:r>
        <w:rPr>
          <w:rFonts w:asciiTheme="minorHAnsi" w:hAnsiTheme="minorHAnsi" w:cstheme="minorHAnsi"/>
          <w:szCs w:val="24"/>
        </w:rPr>
        <w:t xml:space="preserve"> </w:t>
      </w:r>
      <w:r w:rsidRPr="009E2090">
        <w:rPr>
          <w:rFonts w:asciiTheme="minorHAnsi" w:hAnsiTheme="minorHAnsi" w:cstheme="minorHAnsi"/>
          <w:szCs w:val="24"/>
        </w:rPr>
        <w:t>Stärke in Allianzen mit einer der drei Gro</w:t>
      </w:r>
      <w:r>
        <w:rPr>
          <w:rFonts w:asciiTheme="minorHAnsi" w:hAnsiTheme="minorHAnsi" w:cstheme="minorHAnsi"/>
          <w:szCs w:val="24"/>
        </w:rPr>
        <w:t>ss</w:t>
      </w:r>
      <w:r w:rsidRPr="009E2090">
        <w:rPr>
          <w:rFonts w:asciiTheme="minorHAnsi" w:hAnsiTheme="minorHAnsi" w:cstheme="minorHAnsi"/>
          <w:szCs w:val="24"/>
        </w:rPr>
        <w:t>mächte (28,15, das mit</w:t>
      </w:r>
      <w:r>
        <w:rPr>
          <w:rFonts w:asciiTheme="minorHAnsi" w:hAnsiTheme="minorHAnsi" w:cstheme="minorHAnsi"/>
          <w:szCs w:val="24"/>
        </w:rPr>
        <w:t xml:space="preserve"> </w:t>
      </w:r>
      <w:r w:rsidRPr="009E2090">
        <w:rPr>
          <w:rFonts w:asciiTheme="minorHAnsi" w:hAnsiTheme="minorHAnsi" w:cstheme="minorHAnsi"/>
          <w:szCs w:val="24"/>
        </w:rPr>
        <w:t>Dan 9,27 und 11,37.38 zu vergleichen ist) und ernteten damit genau</w:t>
      </w:r>
      <w:r>
        <w:rPr>
          <w:rFonts w:asciiTheme="minorHAnsi" w:hAnsiTheme="minorHAnsi" w:cstheme="minorHAnsi"/>
          <w:szCs w:val="24"/>
        </w:rPr>
        <w:t xml:space="preserve"> </w:t>
      </w:r>
      <w:r w:rsidRPr="009E2090">
        <w:rPr>
          <w:rFonts w:asciiTheme="minorHAnsi" w:hAnsiTheme="minorHAnsi" w:cstheme="minorHAnsi"/>
          <w:szCs w:val="24"/>
        </w:rPr>
        <w:t>das, was sie verhindern woll</w:t>
      </w:r>
      <w:r w:rsidR="003E5274">
        <w:rPr>
          <w:rFonts w:asciiTheme="minorHAnsi" w:hAnsiTheme="minorHAnsi" w:cstheme="minorHAnsi"/>
          <w:szCs w:val="24"/>
        </w:rPr>
        <w:t>t</w:t>
      </w:r>
      <w:r w:rsidRPr="009E2090">
        <w:rPr>
          <w:rFonts w:asciiTheme="minorHAnsi" w:hAnsiTheme="minorHAnsi" w:cstheme="minorHAnsi"/>
          <w:szCs w:val="24"/>
        </w:rPr>
        <w:t>en: Alle drei drangen der Reihe</w:t>
      </w:r>
      <w:r>
        <w:rPr>
          <w:rFonts w:asciiTheme="minorHAnsi" w:hAnsiTheme="minorHAnsi" w:cstheme="minorHAnsi"/>
          <w:szCs w:val="24"/>
        </w:rPr>
        <w:t xml:space="preserve"> </w:t>
      </w:r>
      <w:r w:rsidRPr="009E2090">
        <w:rPr>
          <w:rFonts w:asciiTheme="minorHAnsi" w:hAnsiTheme="minorHAnsi" w:cstheme="minorHAnsi"/>
          <w:szCs w:val="24"/>
        </w:rPr>
        <w:t>nach in Juda ein, verheerten es und zerstörten es am Ende. Umsonst</w:t>
      </w:r>
      <w:r>
        <w:rPr>
          <w:rFonts w:asciiTheme="minorHAnsi" w:hAnsiTheme="minorHAnsi" w:cstheme="minorHAnsi"/>
          <w:szCs w:val="24"/>
        </w:rPr>
        <w:t xml:space="preserve"> </w:t>
      </w:r>
      <w:r w:rsidRPr="009E2090">
        <w:rPr>
          <w:rFonts w:asciiTheme="minorHAnsi" w:hAnsiTheme="minorHAnsi" w:cstheme="minorHAnsi"/>
          <w:szCs w:val="24"/>
        </w:rPr>
        <w:t>hatte Jesaja seine Weherufe über jedes Vertrauen auf Assyrien, Babel</w:t>
      </w:r>
      <w:r>
        <w:rPr>
          <w:rFonts w:asciiTheme="minorHAnsi" w:hAnsiTheme="minorHAnsi" w:cstheme="minorHAnsi"/>
          <w:szCs w:val="24"/>
        </w:rPr>
        <w:t xml:space="preserve"> </w:t>
      </w:r>
      <w:r w:rsidRPr="009E2090">
        <w:rPr>
          <w:rFonts w:asciiTheme="minorHAnsi" w:hAnsiTheme="minorHAnsi" w:cstheme="minorHAnsi"/>
          <w:szCs w:val="24"/>
        </w:rPr>
        <w:t>und Ägypten ausgestoßen (30,1; 31,1). Nicht einmal Hiskia, der</w:t>
      </w:r>
      <w:r>
        <w:rPr>
          <w:rFonts w:asciiTheme="minorHAnsi" w:hAnsiTheme="minorHAnsi" w:cstheme="minorHAnsi"/>
          <w:szCs w:val="24"/>
        </w:rPr>
        <w:t xml:space="preserve"> </w:t>
      </w:r>
      <w:r w:rsidRPr="009E2090">
        <w:rPr>
          <w:rFonts w:asciiTheme="minorHAnsi" w:hAnsiTheme="minorHAnsi" w:cstheme="minorHAnsi"/>
          <w:szCs w:val="24"/>
        </w:rPr>
        <w:t>die assyrische Bedrohung durch ausschließliches Vertrauen auf Gott</w:t>
      </w:r>
    </w:p>
    <w:p w14:paraId="7EE2FB77" w14:textId="77777777"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überstanden hatte, konnte der Versuchung widerstehen, sich durch</w:t>
      </w:r>
      <w:r>
        <w:rPr>
          <w:rFonts w:asciiTheme="minorHAnsi" w:hAnsiTheme="minorHAnsi" w:cstheme="minorHAnsi"/>
          <w:szCs w:val="24"/>
        </w:rPr>
        <w:t xml:space="preserve"> </w:t>
      </w:r>
      <w:r w:rsidRPr="009E2090">
        <w:rPr>
          <w:rFonts w:asciiTheme="minorHAnsi" w:hAnsiTheme="minorHAnsi" w:cstheme="minorHAnsi"/>
          <w:szCs w:val="24"/>
        </w:rPr>
        <w:t xml:space="preserve">Freundschaft mit Babylon für spätere mögliche Angriffe </w:t>
      </w:r>
      <w:proofErr w:type="spellStart"/>
      <w:r w:rsidRPr="009E2090">
        <w:rPr>
          <w:rFonts w:asciiTheme="minorHAnsi" w:hAnsiTheme="minorHAnsi" w:cstheme="minorHAnsi"/>
          <w:szCs w:val="24"/>
        </w:rPr>
        <w:t>Assurs</w:t>
      </w:r>
      <w:proofErr w:type="spellEnd"/>
      <w:r w:rsidRPr="009E2090">
        <w:rPr>
          <w:rFonts w:asciiTheme="minorHAnsi" w:hAnsiTheme="minorHAnsi" w:cstheme="minorHAnsi"/>
          <w:szCs w:val="24"/>
        </w:rPr>
        <w:t xml:space="preserve"> abzusichern</w:t>
      </w:r>
      <w:r>
        <w:rPr>
          <w:rFonts w:asciiTheme="minorHAnsi" w:hAnsiTheme="minorHAnsi" w:cstheme="minorHAnsi"/>
          <w:szCs w:val="24"/>
        </w:rPr>
        <w:t xml:space="preserve"> </w:t>
      </w:r>
      <w:r w:rsidRPr="009E2090">
        <w:rPr>
          <w:rFonts w:asciiTheme="minorHAnsi" w:hAnsiTheme="minorHAnsi" w:cstheme="minorHAnsi"/>
          <w:szCs w:val="24"/>
        </w:rPr>
        <w:t>(Jes 39).</w:t>
      </w:r>
    </w:p>
    <w:p w14:paraId="64D6057B" w14:textId="77777777" w:rsidR="0076218B" w:rsidRDefault="0076218B" w:rsidP="0076218B">
      <w:pPr>
        <w:pStyle w:val="KeinLeerraum"/>
        <w:rPr>
          <w:rFonts w:asciiTheme="minorHAnsi" w:hAnsiTheme="minorHAnsi" w:cstheme="minorHAnsi"/>
          <w:szCs w:val="24"/>
        </w:rPr>
      </w:pPr>
    </w:p>
    <w:p w14:paraId="04D1A55F" w14:textId="77777777" w:rsidR="0076218B" w:rsidRDefault="0076218B" w:rsidP="0076218B">
      <w:pPr>
        <w:pStyle w:val="KeinLeerraum"/>
        <w:rPr>
          <w:rFonts w:asciiTheme="minorHAnsi" w:hAnsiTheme="minorHAnsi" w:cstheme="minorHAnsi"/>
          <w:szCs w:val="24"/>
        </w:rPr>
      </w:pPr>
      <w:r>
        <w:rPr>
          <w:rFonts w:asciiTheme="minorHAnsi" w:hAnsiTheme="minorHAnsi" w:cstheme="minorHAnsi"/>
          <w:szCs w:val="24"/>
        </w:rPr>
        <w:t>Karte: Klein Juda umgeben von diesen stärkeren Weltmächten</w:t>
      </w:r>
    </w:p>
    <w:p w14:paraId="79C1D67F" w14:textId="77777777" w:rsidR="0076218B" w:rsidRDefault="0076218B" w:rsidP="0076218B">
      <w:pPr>
        <w:pStyle w:val="KeinLeerraum"/>
        <w:rPr>
          <w:rFonts w:asciiTheme="minorHAnsi" w:hAnsiTheme="minorHAnsi" w:cstheme="minorHAnsi"/>
          <w:szCs w:val="24"/>
        </w:rPr>
      </w:pPr>
    </w:p>
    <w:p w14:paraId="1C4EB930" w14:textId="77777777" w:rsidR="0076218B" w:rsidRDefault="0076218B" w:rsidP="0076218B">
      <w:pPr>
        <w:pStyle w:val="KeinLeerraum"/>
        <w:rPr>
          <w:rFonts w:asciiTheme="minorHAnsi" w:hAnsiTheme="minorHAnsi" w:cstheme="minorHAnsi"/>
          <w:szCs w:val="24"/>
        </w:rPr>
      </w:pPr>
      <w:r>
        <w:rPr>
          <w:noProof/>
        </w:rPr>
        <w:drawing>
          <wp:inline distT="0" distB="0" distL="0" distR="0" wp14:anchorId="21A975CF" wp14:editId="7D193C72">
            <wp:extent cx="5042818" cy="3092973"/>
            <wp:effectExtent l="0" t="0" r="5715" b="0"/>
            <wp:docPr id="28" name="Grafik 28" descr="https://wol.jw.org/de/wol/ml/r10/lp-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l.jw.org/de/wol/ml/r10/lp-x/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8788" cy="3115035"/>
                    </a:xfrm>
                    <a:prstGeom prst="rect">
                      <a:avLst/>
                    </a:prstGeom>
                    <a:noFill/>
                    <a:ln>
                      <a:noFill/>
                    </a:ln>
                  </pic:spPr>
                </pic:pic>
              </a:graphicData>
            </a:graphic>
          </wp:inline>
        </w:drawing>
      </w:r>
    </w:p>
    <w:p w14:paraId="13232202" w14:textId="77777777" w:rsidR="0076218B" w:rsidRDefault="0076218B" w:rsidP="0076218B">
      <w:pPr>
        <w:pStyle w:val="KeinLeerraum"/>
        <w:rPr>
          <w:rFonts w:asciiTheme="minorHAnsi" w:hAnsiTheme="minorHAnsi" w:cstheme="minorHAnsi"/>
          <w:szCs w:val="24"/>
        </w:rPr>
      </w:pPr>
    </w:p>
    <w:p w14:paraId="45DC69B6" w14:textId="77777777" w:rsidR="0076218B" w:rsidRDefault="0076218B" w:rsidP="0076218B">
      <w:pPr>
        <w:pStyle w:val="KeinLeerraum"/>
        <w:rPr>
          <w:rFonts w:asciiTheme="minorHAnsi" w:hAnsiTheme="minorHAnsi" w:cstheme="minorHAnsi"/>
          <w:szCs w:val="24"/>
        </w:rPr>
      </w:pPr>
    </w:p>
    <w:p w14:paraId="33D053CB" w14:textId="09B384D7" w:rsidR="0076218B" w:rsidRPr="00396941" w:rsidRDefault="008A7B06" w:rsidP="0076218B">
      <w:pPr>
        <w:pStyle w:val="KeinLeerraum"/>
        <w:spacing w:line="360" w:lineRule="auto"/>
        <w:rPr>
          <w:rFonts w:asciiTheme="minorHAnsi" w:hAnsiTheme="minorHAnsi" w:cstheme="minorHAnsi"/>
          <w:b/>
          <w:szCs w:val="24"/>
        </w:rPr>
      </w:pPr>
      <w:r>
        <w:rPr>
          <w:rFonts w:asciiTheme="minorHAnsi" w:hAnsiTheme="minorHAnsi" w:cstheme="minorHAnsi"/>
          <w:b/>
          <w:szCs w:val="24"/>
        </w:rPr>
        <w:t xml:space="preserve">Wahre </w:t>
      </w:r>
      <w:r w:rsidR="0076218B" w:rsidRPr="00396941">
        <w:rPr>
          <w:rFonts w:asciiTheme="minorHAnsi" w:hAnsiTheme="minorHAnsi" w:cstheme="minorHAnsi"/>
          <w:b/>
          <w:szCs w:val="24"/>
        </w:rPr>
        <w:t xml:space="preserve">Sicherheit ist nur in </w:t>
      </w:r>
      <w:r>
        <w:rPr>
          <w:rFonts w:asciiTheme="minorHAnsi" w:hAnsiTheme="minorHAnsi" w:cstheme="minorHAnsi"/>
          <w:b/>
          <w:szCs w:val="24"/>
        </w:rPr>
        <w:t xml:space="preserve">Jesus </w:t>
      </w:r>
      <w:r w:rsidR="0076218B" w:rsidRPr="00396941">
        <w:rPr>
          <w:rFonts w:asciiTheme="minorHAnsi" w:hAnsiTheme="minorHAnsi" w:cstheme="minorHAnsi"/>
          <w:b/>
          <w:szCs w:val="24"/>
        </w:rPr>
        <w:t>Christus</w:t>
      </w:r>
      <w:r>
        <w:rPr>
          <w:rFonts w:asciiTheme="minorHAnsi" w:hAnsiTheme="minorHAnsi" w:cstheme="minorHAnsi"/>
          <w:b/>
          <w:szCs w:val="24"/>
        </w:rPr>
        <w:t xml:space="preserve"> zu finden</w:t>
      </w:r>
    </w:p>
    <w:p w14:paraId="5A2B6311" w14:textId="77777777" w:rsidR="0076218B" w:rsidRPr="009E2090"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Die einzige Sicherheit des Christen ist Christus; die Feinde des Christen</w:t>
      </w:r>
      <w:r>
        <w:rPr>
          <w:rFonts w:asciiTheme="minorHAnsi" w:hAnsiTheme="minorHAnsi" w:cstheme="minorHAnsi"/>
          <w:szCs w:val="24"/>
        </w:rPr>
        <w:t xml:space="preserve"> </w:t>
      </w:r>
      <w:r w:rsidRPr="009E2090">
        <w:rPr>
          <w:rFonts w:asciiTheme="minorHAnsi" w:hAnsiTheme="minorHAnsi" w:cstheme="minorHAnsi"/>
          <w:szCs w:val="24"/>
        </w:rPr>
        <w:t>sind die Sünde, die Welt und der Teufel; Befreiung und Bewahrung</w:t>
      </w:r>
      <w:r>
        <w:rPr>
          <w:rFonts w:asciiTheme="minorHAnsi" w:hAnsiTheme="minorHAnsi" w:cstheme="minorHAnsi"/>
          <w:szCs w:val="24"/>
        </w:rPr>
        <w:t xml:space="preserve"> </w:t>
      </w:r>
      <w:r w:rsidRPr="009E2090">
        <w:rPr>
          <w:rFonts w:asciiTheme="minorHAnsi" w:hAnsiTheme="minorHAnsi" w:cstheme="minorHAnsi"/>
          <w:szCs w:val="24"/>
        </w:rPr>
        <w:t>vor ihnen findet der Christ allein im Glauben an den Christus</w:t>
      </w:r>
    </w:p>
    <w:p w14:paraId="4D847897" w14:textId="5E4D2EA5" w:rsidR="0076218B" w:rsidRDefault="0076218B" w:rsidP="0076218B">
      <w:pPr>
        <w:pStyle w:val="KeinLeerraum"/>
        <w:rPr>
          <w:rFonts w:asciiTheme="minorHAnsi" w:hAnsiTheme="minorHAnsi" w:cstheme="minorHAnsi"/>
          <w:szCs w:val="24"/>
        </w:rPr>
      </w:pPr>
      <w:r w:rsidRPr="009E2090">
        <w:rPr>
          <w:rFonts w:asciiTheme="minorHAnsi" w:hAnsiTheme="minorHAnsi" w:cstheme="minorHAnsi"/>
          <w:szCs w:val="24"/>
        </w:rPr>
        <w:t>Gottes, der im Evangelium Gottes verkündigt wird.</w:t>
      </w:r>
    </w:p>
    <w:p w14:paraId="52035A90" w14:textId="65B6325B" w:rsidR="0059170D" w:rsidRDefault="0059170D" w:rsidP="0076218B">
      <w:pPr>
        <w:pStyle w:val="KeinLeerraum"/>
        <w:rPr>
          <w:rFonts w:asciiTheme="minorHAnsi" w:hAnsiTheme="minorHAnsi" w:cstheme="minorHAnsi"/>
          <w:szCs w:val="24"/>
        </w:rPr>
      </w:pPr>
    </w:p>
    <w:p w14:paraId="5F7725D3" w14:textId="77777777" w:rsidR="0059170D" w:rsidRDefault="0059170D" w:rsidP="0076218B">
      <w:pPr>
        <w:pStyle w:val="KeinLeerraum"/>
        <w:rPr>
          <w:rFonts w:asciiTheme="minorHAnsi" w:hAnsiTheme="minorHAnsi" w:cstheme="minorHAnsi"/>
          <w:szCs w:val="24"/>
        </w:rPr>
      </w:pPr>
      <w:r>
        <w:rPr>
          <w:rFonts w:asciiTheme="minorHAnsi" w:hAnsiTheme="minorHAnsi" w:cstheme="minorHAnsi"/>
          <w:szCs w:val="24"/>
        </w:rPr>
        <w:t xml:space="preserve">Nicht: </w:t>
      </w:r>
    </w:p>
    <w:p w14:paraId="19B6CA6B" w14:textId="7FF27A28" w:rsidR="0059170D" w:rsidRDefault="0059170D" w:rsidP="0059170D">
      <w:pPr>
        <w:pStyle w:val="KeinLeerraum"/>
        <w:rPr>
          <w:rFonts w:asciiTheme="minorHAnsi" w:hAnsiTheme="minorHAnsi" w:cstheme="minorHAnsi"/>
          <w:szCs w:val="24"/>
        </w:rPr>
      </w:pPr>
      <w:r w:rsidRPr="0059170D">
        <w:rPr>
          <w:rFonts w:asciiTheme="minorHAnsi" w:hAnsiTheme="minorHAnsi" w:cstheme="minorHAnsi"/>
          <w:szCs w:val="24"/>
        </w:rPr>
        <w:t>-</w:t>
      </w:r>
      <w:r>
        <w:rPr>
          <w:rFonts w:asciiTheme="minorHAnsi" w:hAnsiTheme="minorHAnsi" w:cstheme="minorHAnsi"/>
          <w:szCs w:val="24"/>
        </w:rPr>
        <w:t xml:space="preserve"> eine "sichere" Anstellung</w:t>
      </w:r>
    </w:p>
    <w:p w14:paraId="2E85E4D1" w14:textId="14454DAA" w:rsidR="0059170D" w:rsidRDefault="0059170D" w:rsidP="0059170D">
      <w:pPr>
        <w:pStyle w:val="KeinLeerraum"/>
        <w:rPr>
          <w:rFonts w:asciiTheme="minorHAnsi" w:hAnsiTheme="minorHAnsi" w:cstheme="minorHAnsi"/>
          <w:szCs w:val="24"/>
        </w:rPr>
      </w:pPr>
      <w:r>
        <w:rPr>
          <w:rFonts w:asciiTheme="minorHAnsi" w:hAnsiTheme="minorHAnsi" w:cstheme="minorHAnsi"/>
          <w:szCs w:val="24"/>
        </w:rPr>
        <w:t>- ein fettes Bankkonto</w:t>
      </w:r>
    </w:p>
    <w:p w14:paraId="41C1336C" w14:textId="5C4DF2CA" w:rsidR="0059170D" w:rsidRDefault="0059170D" w:rsidP="0059170D">
      <w:pPr>
        <w:pStyle w:val="KeinLeerraum"/>
        <w:rPr>
          <w:rFonts w:asciiTheme="minorHAnsi" w:hAnsiTheme="minorHAnsi" w:cstheme="minorHAnsi"/>
          <w:szCs w:val="24"/>
        </w:rPr>
      </w:pPr>
      <w:r>
        <w:rPr>
          <w:rFonts w:asciiTheme="minorHAnsi" w:hAnsiTheme="minorHAnsi" w:cstheme="minorHAnsi"/>
          <w:szCs w:val="24"/>
        </w:rPr>
        <w:t>- eine gute Ausbildung</w:t>
      </w:r>
    </w:p>
    <w:p w14:paraId="35681D01" w14:textId="5D8E754F" w:rsidR="0059170D" w:rsidRDefault="0059170D" w:rsidP="0059170D">
      <w:pPr>
        <w:pStyle w:val="KeinLeerraum"/>
        <w:rPr>
          <w:rFonts w:asciiTheme="minorHAnsi" w:hAnsiTheme="minorHAnsi" w:cstheme="minorHAnsi"/>
          <w:szCs w:val="24"/>
        </w:rPr>
      </w:pPr>
      <w:r>
        <w:rPr>
          <w:rFonts w:asciiTheme="minorHAnsi" w:hAnsiTheme="minorHAnsi" w:cstheme="minorHAnsi"/>
          <w:szCs w:val="24"/>
        </w:rPr>
        <w:t>- Ein politisches System</w:t>
      </w:r>
    </w:p>
    <w:p w14:paraId="3D374253" w14:textId="65512152" w:rsidR="0059170D" w:rsidRPr="00396941" w:rsidRDefault="0059170D" w:rsidP="0059170D">
      <w:pPr>
        <w:pStyle w:val="KeinLeerraum"/>
        <w:rPr>
          <w:rFonts w:asciiTheme="minorHAnsi" w:hAnsiTheme="minorHAnsi" w:cstheme="minorHAnsi"/>
          <w:szCs w:val="24"/>
        </w:rPr>
      </w:pPr>
      <w:r>
        <w:rPr>
          <w:rFonts w:asciiTheme="minorHAnsi" w:hAnsiTheme="minorHAnsi" w:cstheme="minorHAnsi"/>
          <w:szCs w:val="24"/>
        </w:rPr>
        <w:t>- usw.</w:t>
      </w:r>
    </w:p>
    <w:p w14:paraId="451BEC7A" w14:textId="77777777" w:rsidR="009E0D10" w:rsidRDefault="009E0D10" w:rsidP="0076218B">
      <w:pPr>
        <w:rPr>
          <w:rFonts w:cstheme="minorHAnsi"/>
          <w:i/>
          <w:iCs/>
        </w:rPr>
      </w:pPr>
    </w:p>
    <w:p w14:paraId="5A6D775F" w14:textId="77777777" w:rsidR="0076218B" w:rsidRPr="004B3668" w:rsidRDefault="0076218B" w:rsidP="0076218B">
      <w:pPr>
        <w:rPr>
          <w:rFonts w:cstheme="minorHAnsi"/>
        </w:rPr>
      </w:pPr>
      <w:r w:rsidRPr="004B3668">
        <w:rPr>
          <w:rFonts w:cstheme="minorHAnsi"/>
          <w:iCs/>
        </w:rPr>
        <w:t>“Dies ist das Wort des HERRN an Serubbabel: Nicht durch Macht und nicht durch Kraft, sondern durch meinen Geist, spricht der HERR der Heerscharen.“</w:t>
      </w:r>
      <w:r w:rsidRPr="004B3668">
        <w:rPr>
          <w:rFonts w:cstheme="minorHAnsi"/>
        </w:rPr>
        <w:t xml:space="preserve"> </w:t>
      </w:r>
      <w:r w:rsidRPr="004B3668">
        <w:rPr>
          <w:rFonts w:cstheme="minorHAnsi"/>
          <w:b/>
          <w:bCs/>
        </w:rPr>
        <w:t>(</w:t>
      </w:r>
      <w:proofErr w:type="spellStart"/>
      <w:r w:rsidRPr="004B3668">
        <w:rPr>
          <w:rFonts w:cstheme="minorHAnsi"/>
          <w:b/>
          <w:bCs/>
        </w:rPr>
        <w:t>Sach</w:t>
      </w:r>
      <w:proofErr w:type="spellEnd"/>
      <w:r w:rsidRPr="004B3668">
        <w:rPr>
          <w:rFonts w:cstheme="minorHAnsi"/>
          <w:b/>
          <w:bCs/>
        </w:rPr>
        <w:t xml:space="preserve"> 4,6)</w:t>
      </w:r>
    </w:p>
    <w:p w14:paraId="348952A0" w14:textId="0B508ED3" w:rsidR="0076218B" w:rsidRPr="004B3668" w:rsidRDefault="0076218B" w:rsidP="0076218B">
      <w:pPr>
        <w:rPr>
          <w:rFonts w:cstheme="minorHAnsi"/>
        </w:rPr>
      </w:pPr>
    </w:p>
    <w:p w14:paraId="1333992C" w14:textId="77777777" w:rsidR="0076218B" w:rsidRPr="004B3668" w:rsidRDefault="0076218B" w:rsidP="0076218B">
      <w:pPr>
        <w:rPr>
          <w:rFonts w:cstheme="minorHAnsi"/>
        </w:rPr>
      </w:pPr>
      <w:r w:rsidRPr="004B3668">
        <w:rPr>
          <w:rFonts w:cstheme="minorHAnsi"/>
          <w:iCs/>
        </w:rPr>
        <w:t>„So spricht der HERR: Verflucht ist der Mann, der auf Menschen vertraut und Fleisch zu seinem Arm macht und dessen Herz vom HERRN weicht! Er wird sein wie ein kahler Strauch in der Steppe und nicht sehen, dass Gutes kommt. Und an dürren Stätten in der Wüste wird er wohnen, in einem salzigen Land, wo sonst niemand wohnt. Gesegnet ist der Mann, der auf den HERRN vertraut und dessen Vertrauen der HERR ist! Er wird sein wie ein Baum, der am Wasser gepflanzt ist und am Bach seine Wurzeln ausstreckt und sich nicht fürchtet, wenn die Hitze kommt. Sein Laub ist grün, im Jahr der Dürre ist er unbekümmert, und er hört nicht auf, Frucht zu tragen.“</w:t>
      </w:r>
      <w:r w:rsidRPr="004B3668">
        <w:rPr>
          <w:rFonts w:cstheme="minorHAnsi"/>
        </w:rPr>
        <w:t xml:space="preserve"> </w:t>
      </w:r>
      <w:r w:rsidRPr="004B3668">
        <w:rPr>
          <w:rFonts w:cstheme="minorHAnsi"/>
          <w:b/>
          <w:bCs/>
        </w:rPr>
        <w:t>(Jer 17,5-8)</w:t>
      </w:r>
    </w:p>
    <w:p w14:paraId="3D87E6AE" w14:textId="6048D382" w:rsidR="0076218B" w:rsidRDefault="0076218B" w:rsidP="0076218B">
      <w:pPr>
        <w:rPr>
          <w:rFonts w:cstheme="minorHAnsi"/>
        </w:rPr>
      </w:pPr>
    </w:p>
    <w:p w14:paraId="51AF51AD" w14:textId="03ECB379" w:rsidR="00B40947" w:rsidRPr="004B3668" w:rsidRDefault="00F90618" w:rsidP="0046341B">
      <w:pPr>
        <w:pStyle w:val="KeinLeerraum"/>
        <w:rPr>
          <w:szCs w:val="24"/>
        </w:rPr>
      </w:pPr>
      <w:r w:rsidRPr="004B3668">
        <w:rPr>
          <w:szCs w:val="24"/>
        </w:rPr>
        <w:t>Auf</w:t>
      </w:r>
      <w:r w:rsidR="0046341B" w:rsidRPr="004B3668">
        <w:rPr>
          <w:szCs w:val="24"/>
        </w:rPr>
        <w:t xml:space="preserve"> </w:t>
      </w:r>
      <w:r w:rsidRPr="004B3668">
        <w:rPr>
          <w:szCs w:val="24"/>
        </w:rPr>
        <w:t>Menschen zu vertrauen, bringt Fluch;</w:t>
      </w:r>
      <w:r w:rsidR="0046341B" w:rsidRPr="004B3668">
        <w:rPr>
          <w:szCs w:val="24"/>
        </w:rPr>
        <w:t xml:space="preserve"> </w:t>
      </w:r>
      <w:r w:rsidRPr="004B3668">
        <w:rPr>
          <w:szCs w:val="24"/>
        </w:rPr>
        <w:t>das Vertrauen auf den HERRN dagegen</w:t>
      </w:r>
      <w:r w:rsidR="0046341B" w:rsidRPr="004B3668">
        <w:rPr>
          <w:szCs w:val="24"/>
        </w:rPr>
        <w:t xml:space="preserve"> </w:t>
      </w:r>
      <w:r w:rsidRPr="004B3668">
        <w:rPr>
          <w:szCs w:val="24"/>
        </w:rPr>
        <w:t>bringt Segen</w:t>
      </w:r>
      <w:r w:rsidR="003E5274">
        <w:rPr>
          <w:szCs w:val="24"/>
        </w:rPr>
        <w:t>!</w:t>
      </w:r>
      <w:bookmarkStart w:id="0" w:name="_GoBack"/>
      <w:bookmarkEnd w:id="0"/>
    </w:p>
    <w:sectPr w:rsidR="00B40947" w:rsidRPr="004B3668"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B2E58" w14:textId="77777777" w:rsidR="00052BA3" w:rsidRDefault="00052BA3" w:rsidP="00CC1E51">
      <w:r>
        <w:separator/>
      </w:r>
    </w:p>
  </w:endnote>
  <w:endnote w:type="continuationSeparator" w:id="0">
    <w:p w14:paraId="524BE4FA" w14:textId="77777777" w:rsidR="00052BA3" w:rsidRDefault="00052BA3"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FDCC7" w14:textId="77777777" w:rsidR="00052BA3" w:rsidRDefault="00052BA3" w:rsidP="00CC1E51">
      <w:r>
        <w:separator/>
      </w:r>
    </w:p>
  </w:footnote>
  <w:footnote w:type="continuationSeparator" w:id="0">
    <w:p w14:paraId="4B309A35" w14:textId="77777777" w:rsidR="00052BA3" w:rsidRDefault="00052BA3"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3936A0"/>
    <w:multiLevelType w:val="hybridMultilevel"/>
    <w:tmpl w:val="8B32A1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88756C"/>
    <w:multiLevelType w:val="hybridMultilevel"/>
    <w:tmpl w:val="7FE04FA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AF1448"/>
    <w:multiLevelType w:val="hybridMultilevel"/>
    <w:tmpl w:val="A4E2E286"/>
    <w:lvl w:ilvl="0" w:tplc="B8E22C8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B33C12"/>
    <w:multiLevelType w:val="hybridMultilevel"/>
    <w:tmpl w:val="88DE29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BE599E"/>
    <w:multiLevelType w:val="hybridMultilevel"/>
    <w:tmpl w:val="A3742A2E"/>
    <w:lvl w:ilvl="0" w:tplc="4DC4DD7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E1391D"/>
    <w:multiLevelType w:val="hybridMultilevel"/>
    <w:tmpl w:val="AC782D4E"/>
    <w:lvl w:ilvl="0" w:tplc="B4F2211C">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950ABA"/>
    <w:multiLevelType w:val="hybridMultilevel"/>
    <w:tmpl w:val="7C6000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C2C3D5C"/>
    <w:multiLevelType w:val="hybridMultilevel"/>
    <w:tmpl w:val="53A6686A"/>
    <w:lvl w:ilvl="0" w:tplc="BC6C031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27B4A"/>
    <w:multiLevelType w:val="hybridMultilevel"/>
    <w:tmpl w:val="C9DECF48"/>
    <w:lvl w:ilvl="0" w:tplc="E6A61772">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9943DD"/>
    <w:multiLevelType w:val="hybridMultilevel"/>
    <w:tmpl w:val="7346BAC6"/>
    <w:lvl w:ilvl="0" w:tplc="BC6C0314">
      <w:start w:val="1"/>
      <w:numFmt w:val="bullet"/>
      <w:lvlText w:val=""/>
      <w:lvlJc w:val="left"/>
      <w:pPr>
        <w:tabs>
          <w:tab w:val="num" w:pos="799"/>
        </w:tabs>
        <w:ind w:left="799" w:hanging="360"/>
      </w:pPr>
      <w:rPr>
        <w:rFonts w:ascii="Wingdings" w:hAnsi="Wingdings" w:hint="default"/>
      </w:rPr>
    </w:lvl>
    <w:lvl w:ilvl="1" w:tplc="0407000F">
      <w:start w:val="1"/>
      <w:numFmt w:val="decimal"/>
      <w:lvlText w:val="%2."/>
      <w:lvlJc w:val="left"/>
      <w:pPr>
        <w:tabs>
          <w:tab w:val="num" w:pos="1519"/>
        </w:tabs>
        <w:ind w:left="1519" w:hanging="360"/>
      </w:pPr>
    </w:lvl>
    <w:lvl w:ilvl="2" w:tplc="04070005" w:tentative="1">
      <w:start w:val="1"/>
      <w:numFmt w:val="bullet"/>
      <w:lvlText w:val=""/>
      <w:lvlJc w:val="left"/>
      <w:pPr>
        <w:tabs>
          <w:tab w:val="num" w:pos="2239"/>
        </w:tabs>
        <w:ind w:left="2239" w:hanging="360"/>
      </w:pPr>
      <w:rPr>
        <w:rFonts w:ascii="Wingdings" w:hAnsi="Wingdings" w:hint="default"/>
      </w:rPr>
    </w:lvl>
    <w:lvl w:ilvl="3" w:tplc="04070001" w:tentative="1">
      <w:start w:val="1"/>
      <w:numFmt w:val="bullet"/>
      <w:lvlText w:val=""/>
      <w:lvlJc w:val="left"/>
      <w:pPr>
        <w:tabs>
          <w:tab w:val="num" w:pos="2959"/>
        </w:tabs>
        <w:ind w:left="2959" w:hanging="360"/>
      </w:pPr>
      <w:rPr>
        <w:rFonts w:ascii="Symbol" w:hAnsi="Symbol" w:hint="default"/>
      </w:rPr>
    </w:lvl>
    <w:lvl w:ilvl="4" w:tplc="04070003" w:tentative="1">
      <w:start w:val="1"/>
      <w:numFmt w:val="bullet"/>
      <w:lvlText w:val="o"/>
      <w:lvlJc w:val="left"/>
      <w:pPr>
        <w:tabs>
          <w:tab w:val="num" w:pos="3679"/>
        </w:tabs>
        <w:ind w:left="3679" w:hanging="360"/>
      </w:pPr>
      <w:rPr>
        <w:rFonts w:ascii="Courier New" w:hAnsi="Courier New" w:hint="default"/>
      </w:rPr>
    </w:lvl>
    <w:lvl w:ilvl="5" w:tplc="04070005" w:tentative="1">
      <w:start w:val="1"/>
      <w:numFmt w:val="bullet"/>
      <w:lvlText w:val=""/>
      <w:lvlJc w:val="left"/>
      <w:pPr>
        <w:tabs>
          <w:tab w:val="num" w:pos="4399"/>
        </w:tabs>
        <w:ind w:left="4399" w:hanging="360"/>
      </w:pPr>
      <w:rPr>
        <w:rFonts w:ascii="Wingdings" w:hAnsi="Wingdings" w:hint="default"/>
      </w:rPr>
    </w:lvl>
    <w:lvl w:ilvl="6" w:tplc="04070001" w:tentative="1">
      <w:start w:val="1"/>
      <w:numFmt w:val="bullet"/>
      <w:lvlText w:val=""/>
      <w:lvlJc w:val="left"/>
      <w:pPr>
        <w:tabs>
          <w:tab w:val="num" w:pos="5119"/>
        </w:tabs>
        <w:ind w:left="5119" w:hanging="360"/>
      </w:pPr>
      <w:rPr>
        <w:rFonts w:ascii="Symbol" w:hAnsi="Symbol" w:hint="default"/>
      </w:rPr>
    </w:lvl>
    <w:lvl w:ilvl="7" w:tplc="04070003" w:tentative="1">
      <w:start w:val="1"/>
      <w:numFmt w:val="bullet"/>
      <w:lvlText w:val="o"/>
      <w:lvlJc w:val="left"/>
      <w:pPr>
        <w:tabs>
          <w:tab w:val="num" w:pos="5839"/>
        </w:tabs>
        <w:ind w:left="5839" w:hanging="360"/>
      </w:pPr>
      <w:rPr>
        <w:rFonts w:ascii="Courier New" w:hAnsi="Courier New" w:hint="default"/>
      </w:rPr>
    </w:lvl>
    <w:lvl w:ilvl="8" w:tplc="04070005" w:tentative="1">
      <w:start w:val="1"/>
      <w:numFmt w:val="bullet"/>
      <w:lvlText w:val=""/>
      <w:lvlJc w:val="left"/>
      <w:pPr>
        <w:tabs>
          <w:tab w:val="num" w:pos="6559"/>
        </w:tabs>
        <w:ind w:left="6559" w:hanging="360"/>
      </w:pPr>
      <w:rPr>
        <w:rFonts w:ascii="Wingdings" w:hAnsi="Wingdings" w:hint="default"/>
      </w:rPr>
    </w:lvl>
  </w:abstractNum>
  <w:abstractNum w:abstractNumId="35"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07B75"/>
    <w:multiLevelType w:val="hybridMultilevel"/>
    <w:tmpl w:val="40126D52"/>
    <w:lvl w:ilvl="0" w:tplc="D5E2E3D0">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6031662"/>
    <w:multiLevelType w:val="hybridMultilevel"/>
    <w:tmpl w:val="6DE0B9EE"/>
    <w:lvl w:ilvl="0" w:tplc="8EFAB814">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4"/>
  </w:num>
  <w:num w:numId="2">
    <w:abstractNumId w:val="18"/>
  </w:num>
  <w:num w:numId="3">
    <w:abstractNumId w:val="6"/>
  </w:num>
  <w:num w:numId="4">
    <w:abstractNumId w:val="12"/>
  </w:num>
  <w:num w:numId="5">
    <w:abstractNumId w:val="26"/>
  </w:num>
  <w:num w:numId="6">
    <w:abstractNumId w:val="21"/>
  </w:num>
  <w:num w:numId="7">
    <w:abstractNumId w:val="10"/>
  </w:num>
  <w:num w:numId="8">
    <w:abstractNumId w:val="1"/>
  </w:num>
  <w:num w:numId="9">
    <w:abstractNumId w:val="30"/>
  </w:num>
  <w:num w:numId="10">
    <w:abstractNumId w:val="38"/>
  </w:num>
  <w:num w:numId="11">
    <w:abstractNumId w:val="37"/>
  </w:num>
  <w:num w:numId="12">
    <w:abstractNumId w:val="42"/>
  </w:num>
  <w:num w:numId="13">
    <w:abstractNumId w:val="23"/>
  </w:num>
  <w:num w:numId="14">
    <w:abstractNumId w:val="35"/>
  </w:num>
  <w:num w:numId="15">
    <w:abstractNumId w:val="39"/>
  </w:num>
  <w:num w:numId="16">
    <w:abstractNumId w:val="9"/>
  </w:num>
  <w:num w:numId="17">
    <w:abstractNumId w:val="15"/>
  </w:num>
  <w:num w:numId="18">
    <w:abstractNumId w:val="32"/>
  </w:num>
  <w:num w:numId="19">
    <w:abstractNumId w:val="31"/>
  </w:num>
  <w:num w:numId="20">
    <w:abstractNumId w:val="22"/>
  </w:num>
  <w:num w:numId="21">
    <w:abstractNumId w:val="5"/>
  </w:num>
  <w:num w:numId="22">
    <w:abstractNumId w:val="33"/>
  </w:num>
  <w:num w:numId="23">
    <w:abstractNumId w:val="36"/>
  </w:num>
  <w:num w:numId="24">
    <w:abstractNumId w:val="14"/>
  </w:num>
  <w:num w:numId="25">
    <w:abstractNumId w:val="0"/>
  </w:num>
  <w:num w:numId="26">
    <w:abstractNumId w:val="47"/>
  </w:num>
  <w:num w:numId="27">
    <w:abstractNumId w:val="45"/>
  </w:num>
  <w:num w:numId="28">
    <w:abstractNumId w:val="3"/>
  </w:num>
  <w:num w:numId="29">
    <w:abstractNumId w:val="8"/>
  </w:num>
  <w:num w:numId="30">
    <w:abstractNumId w:val="19"/>
  </w:num>
  <w:num w:numId="31">
    <w:abstractNumId w:val="40"/>
  </w:num>
  <w:num w:numId="32">
    <w:abstractNumId w:val="7"/>
  </w:num>
  <w:num w:numId="33">
    <w:abstractNumId w:val="11"/>
  </w:num>
  <w:num w:numId="34">
    <w:abstractNumId w:val="24"/>
  </w:num>
  <w:num w:numId="35">
    <w:abstractNumId w:val="48"/>
  </w:num>
  <w:num w:numId="36">
    <w:abstractNumId w:val="27"/>
  </w:num>
  <w:num w:numId="37">
    <w:abstractNumId w:val="16"/>
  </w:num>
  <w:num w:numId="38">
    <w:abstractNumId w:val="29"/>
  </w:num>
  <w:num w:numId="39">
    <w:abstractNumId w:val="46"/>
  </w:num>
  <w:num w:numId="40">
    <w:abstractNumId w:val="28"/>
  </w:num>
  <w:num w:numId="41">
    <w:abstractNumId w:val="20"/>
  </w:num>
  <w:num w:numId="42">
    <w:abstractNumId w:val="17"/>
  </w:num>
  <w:num w:numId="43">
    <w:abstractNumId w:val="2"/>
  </w:num>
  <w:num w:numId="44">
    <w:abstractNumId w:val="4"/>
  </w:num>
  <w:num w:numId="45">
    <w:abstractNumId w:val="43"/>
  </w:num>
  <w:num w:numId="46">
    <w:abstractNumId w:val="34"/>
  </w:num>
  <w:num w:numId="47">
    <w:abstractNumId w:val="25"/>
  </w:num>
  <w:num w:numId="48">
    <w:abstractNumId w:val="41"/>
  </w:num>
  <w:num w:numId="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737"/>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27C"/>
    <w:rsid w:val="00043718"/>
    <w:rsid w:val="00043F63"/>
    <w:rsid w:val="00043F68"/>
    <w:rsid w:val="0004423E"/>
    <w:rsid w:val="00044A5C"/>
    <w:rsid w:val="00045BAF"/>
    <w:rsid w:val="0004610A"/>
    <w:rsid w:val="00047B66"/>
    <w:rsid w:val="00047EA9"/>
    <w:rsid w:val="00047FF1"/>
    <w:rsid w:val="00051372"/>
    <w:rsid w:val="0005140F"/>
    <w:rsid w:val="00051BB3"/>
    <w:rsid w:val="00052266"/>
    <w:rsid w:val="00052786"/>
    <w:rsid w:val="0005282A"/>
    <w:rsid w:val="00052BA3"/>
    <w:rsid w:val="00052E06"/>
    <w:rsid w:val="00052E2F"/>
    <w:rsid w:val="00053889"/>
    <w:rsid w:val="00054388"/>
    <w:rsid w:val="000543B3"/>
    <w:rsid w:val="00054429"/>
    <w:rsid w:val="000548A9"/>
    <w:rsid w:val="0005571E"/>
    <w:rsid w:val="00055BE3"/>
    <w:rsid w:val="00056212"/>
    <w:rsid w:val="0005685A"/>
    <w:rsid w:val="0005690C"/>
    <w:rsid w:val="000574EE"/>
    <w:rsid w:val="000577A8"/>
    <w:rsid w:val="00060E00"/>
    <w:rsid w:val="000611EC"/>
    <w:rsid w:val="0006173D"/>
    <w:rsid w:val="00061803"/>
    <w:rsid w:val="000619BB"/>
    <w:rsid w:val="00061B3F"/>
    <w:rsid w:val="00061BD9"/>
    <w:rsid w:val="00061E2D"/>
    <w:rsid w:val="00061FFA"/>
    <w:rsid w:val="00062AE9"/>
    <w:rsid w:val="0006355E"/>
    <w:rsid w:val="00063AA8"/>
    <w:rsid w:val="00064148"/>
    <w:rsid w:val="00064D96"/>
    <w:rsid w:val="00065E0B"/>
    <w:rsid w:val="000670EB"/>
    <w:rsid w:val="00071480"/>
    <w:rsid w:val="00071CA4"/>
    <w:rsid w:val="00072257"/>
    <w:rsid w:val="0007235B"/>
    <w:rsid w:val="000733FB"/>
    <w:rsid w:val="00073594"/>
    <w:rsid w:val="000736F0"/>
    <w:rsid w:val="00074831"/>
    <w:rsid w:val="00074BB0"/>
    <w:rsid w:val="00074C2B"/>
    <w:rsid w:val="00074CB5"/>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385"/>
    <w:rsid w:val="000937B6"/>
    <w:rsid w:val="0009403B"/>
    <w:rsid w:val="00094094"/>
    <w:rsid w:val="00095A89"/>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4FD"/>
    <w:rsid w:val="000B1A01"/>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387B"/>
    <w:rsid w:val="000C40C4"/>
    <w:rsid w:val="000C46F5"/>
    <w:rsid w:val="000C500C"/>
    <w:rsid w:val="000C5217"/>
    <w:rsid w:val="000C5865"/>
    <w:rsid w:val="000C64C0"/>
    <w:rsid w:val="000C6793"/>
    <w:rsid w:val="000C6907"/>
    <w:rsid w:val="000C6B0F"/>
    <w:rsid w:val="000C7FF2"/>
    <w:rsid w:val="000D079D"/>
    <w:rsid w:val="000D07D3"/>
    <w:rsid w:val="000D0C34"/>
    <w:rsid w:val="000D1419"/>
    <w:rsid w:val="000D1E80"/>
    <w:rsid w:val="000D2F9C"/>
    <w:rsid w:val="000D43A6"/>
    <w:rsid w:val="000D4DB6"/>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705A"/>
    <w:rsid w:val="00102DBF"/>
    <w:rsid w:val="00104478"/>
    <w:rsid w:val="0010467D"/>
    <w:rsid w:val="001072DC"/>
    <w:rsid w:val="00107436"/>
    <w:rsid w:val="00107A23"/>
    <w:rsid w:val="00107B99"/>
    <w:rsid w:val="00110CCD"/>
    <w:rsid w:val="00111452"/>
    <w:rsid w:val="001119C9"/>
    <w:rsid w:val="001125BD"/>
    <w:rsid w:val="001134FE"/>
    <w:rsid w:val="0011355F"/>
    <w:rsid w:val="0011417F"/>
    <w:rsid w:val="001146AC"/>
    <w:rsid w:val="00114F12"/>
    <w:rsid w:val="00115769"/>
    <w:rsid w:val="00115BB1"/>
    <w:rsid w:val="00116640"/>
    <w:rsid w:val="00116DFB"/>
    <w:rsid w:val="00121082"/>
    <w:rsid w:val="001214A1"/>
    <w:rsid w:val="00122EAA"/>
    <w:rsid w:val="001231B4"/>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6083"/>
    <w:rsid w:val="00136A50"/>
    <w:rsid w:val="00136BC9"/>
    <w:rsid w:val="00137055"/>
    <w:rsid w:val="0013747B"/>
    <w:rsid w:val="00137B93"/>
    <w:rsid w:val="00137C80"/>
    <w:rsid w:val="00140383"/>
    <w:rsid w:val="0014065B"/>
    <w:rsid w:val="0014074F"/>
    <w:rsid w:val="00140BBB"/>
    <w:rsid w:val="00143439"/>
    <w:rsid w:val="001434B4"/>
    <w:rsid w:val="00145729"/>
    <w:rsid w:val="00146253"/>
    <w:rsid w:val="00150026"/>
    <w:rsid w:val="001506CD"/>
    <w:rsid w:val="0015097D"/>
    <w:rsid w:val="001509B0"/>
    <w:rsid w:val="00150A3B"/>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7466"/>
    <w:rsid w:val="001977BB"/>
    <w:rsid w:val="001978F9"/>
    <w:rsid w:val="00197BFC"/>
    <w:rsid w:val="00197D1B"/>
    <w:rsid w:val="001A0058"/>
    <w:rsid w:val="001A0525"/>
    <w:rsid w:val="001A176D"/>
    <w:rsid w:val="001A2C87"/>
    <w:rsid w:val="001A38C7"/>
    <w:rsid w:val="001A51D7"/>
    <w:rsid w:val="001A5884"/>
    <w:rsid w:val="001A6ECB"/>
    <w:rsid w:val="001A70CB"/>
    <w:rsid w:val="001B0400"/>
    <w:rsid w:val="001B0F67"/>
    <w:rsid w:val="001B1497"/>
    <w:rsid w:val="001B1D58"/>
    <w:rsid w:val="001B232B"/>
    <w:rsid w:val="001B40D3"/>
    <w:rsid w:val="001B4CAE"/>
    <w:rsid w:val="001B522B"/>
    <w:rsid w:val="001B543C"/>
    <w:rsid w:val="001B5580"/>
    <w:rsid w:val="001B6B68"/>
    <w:rsid w:val="001B7937"/>
    <w:rsid w:val="001B7CC5"/>
    <w:rsid w:val="001C0227"/>
    <w:rsid w:val="001C1656"/>
    <w:rsid w:val="001C1E2C"/>
    <w:rsid w:val="001C2A7B"/>
    <w:rsid w:val="001C31A1"/>
    <w:rsid w:val="001C3AFA"/>
    <w:rsid w:val="001C437F"/>
    <w:rsid w:val="001C45F8"/>
    <w:rsid w:val="001C5097"/>
    <w:rsid w:val="001C50F9"/>
    <w:rsid w:val="001C514F"/>
    <w:rsid w:val="001C5739"/>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7224"/>
    <w:rsid w:val="00230012"/>
    <w:rsid w:val="00230626"/>
    <w:rsid w:val="0023122F"/>
    <w:rsid w:val="0023185D"/>
    <w:rsid w:val="00231A88"/>
    <w:rsid w:val="00232AAB"/>
    <w:rsid w:val="00232BE1"/>
    <w:rsid w:val="00232E65"/>
    <w:rsid w:val="00232E66"/>
    <w:rsid w:val="002331D9"/>
    <w:rsid w:val="00235152"/>
    <w:rsid w:val="002356B0"/>
    <w:rsid w:val="00235C8A"/>
    <w:rsid w:val="0023621E"/>
    <w:rsid w:val="002406B8"/>
    <w:rsid w:val="002411FC"/>
    <w:rsid w:val="0024186F"/>
    <w:rsid w:val="00241CFD"/>
    <w:rsid w:val="00241F42"/>
    <w:rsid w:val="00241F71"/>
    <w:rsid w:val="00243235"/>
    <w:rsid w:val="0024427B"/>
    <w:rsid w:val="002443F4"/>
    <w:rsid w:val="002454A0"/>
    <w:rsid w:val="002458AF"/>
    <w:rsid w:val="0024676E"/>
    <w:rsid w:val="00247027"/>
    <w:rsid w:val="0024728B"/>
    <w:rsid w:val="00247674"/>
    <w:rsid w:val="00250178"/>
    <w:rsid w:val="00250700"/>
    <w:rsid w:val="00251B0C"/>
    <w:rsid w:val="00253DE2"/>
    <w:rsid w:val="00254C59"/>
    <w:rsid w:val="002550BD"/>
    <w:rsid w:val="00255335"/>
    <w:rsid w:val="00255673"/>
    <w:rsid w:val="0025587B"/>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F5F"/>
    <w:rsid w:val="0027776B"/>
    <w:rsid w:val="00280856"/>
    <w:rsid w:val="00280BBD"/>
    <w:rsid w:val="00280F1B"/>
    <w:rsid w:val="00282B6A"/>
    <w:rsid w:val="00282B90"/>
    <w:rsid w:val="00282F7B"/>
    <w:rsid w:val="0028346E"/>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5378"/>
    <w:rsid w:val="0029567F"/>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56B"/>
    <w:rsid w:val="002E4DC9"/>
    <w:rsid w:val="002E5BE8"/>
    <w:rsid w:val="002E6A09"/>
    <w:rsid w:val="002E6D9D"/>
    <w:rsid w:val="002E74DA"/>
    <w:rsid w:val="002E75A6"/>
    <w:rsid w:val="002E777E"/>
    <w:rsid w:val="002E7A40"/>
    <w:rsid w:val="002F025B"/>
    <w:rsid w:val="002F117E"/>
    <w:rsid w:val="002F1A1E"/>
    <w:rsid w:val="002F3907"/>
    <w:rsid w:val="002F3A04"/>
    <w:rsid w:val="002F45FF"/>
    <w:rsid w:val="002F4E9A"/>
    <w:rsid w:val="002F4ED4"/>
    <w:rsid w:val="002F67C1"/>
    <w:rsid w:val="002F6BAB"/>
    <w:rsid w:val="002F7C43"/>
    <w:rsid w:val="003003C1"/>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DEB"/>
    <w:rsid w:val="00315EA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573"/>
    <w:rsid w:val="0032682D"/>
    <w:rsid w:val="003270B2"/>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DAF"/>
    <w:rsid w:val="0036582B"/>
    <w:rsid w:val="00365E18"/>
    <w:rsid w:val="00366703"/>
    <w:rsid w:val="003708B1"/>
    <w:rsid w:val="00370A74"/>
    <w:rsid w:val="00370F66"/>
    <w:rsid w:val="00371FC7"/>
    <w:rsid w:val="0037232A"/>
    <w:rsid w:val="00372C78"/>
    <w:rsid w:val="003731FD"/>
    <w:rsid w:val="003737C4"/>
    <w:rsid w:val="00373B5E"/>
    <w:rsid w:val="0037508D"/>
    <w:rsid w:val="00375B2C"/>
    <w:rsid w:val="00375F3D"/>
    <w:rsid w:val="0037624D"/>
    <w:rsid w:val="0037632C"/>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E5"/>
    <w:rsid w:val="003915D9"/>
    <w:rsid w:val="003925DF"/>
    <w:rsid w:val="00392ACC"/>
    <w:rsid w:val="00393F20"/>
    <w:rsid w:val="00393FFA"/>
    <w:rsid w:val="00394834"/>
    <w:rsid w:val="00394AB5"/>
    <w:rsid w:val="00394F7F"/>
    <w:rsid w:val="00395069"/>
    <w:rsid w:val="00396941"/>
    <w:rsid w:val="00397A5B"/>
    <w:rsid w:val="00397B0E"/>
    <w:rsid w:val="003A0940"/>
    <w:rsid w:val="003A12A6"/>
    <w:rsid w:val="003A15E8"/>
    <w:rsid w:val="003A224F"/>
    <w:rsid w:val="003A2AC5"/>
    <w:rsid w:val="003A2C38"/>
    <w:rsid w:val="003A2FC6"/>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D9"/>
    <w:rsid w:val="003C792B"/>
    <w:rsid w:val="003C7ABE"/>
    <w:rsid w:val="003C7CD8"/>
    <w:rsid w:val="003D0D61"/>
    <w:rsid w:val="003D156B"/>
    <w:rsid w:val="003D167E"/>
    <w:rsid w:val="003D16B8"/>
    <w:rsid w:val="003D1B9D"/>
    <w:rsid w:val="003D1C62"/>
    <w:rsid w:val="003D220B"/>
    <w:rsid w:val="003D314C"/>
    <w:rsid w:val="003D3E10"/>
    <w:rsid w:val="003D4D0C"/>
    <w:rsid w:val="003D507C"/>
    <w:rsid w:val="003D5306"/>
    <w:rsid w:val="003D5618"/>
    <w:rsid w:val="003D5BAD"/>
    <w:rsid w:val="003D5D08"/>
    <w:rsid w:val="003D5D49"/>
    <w:rsid w:val="003D5F1E"/>
    <w:rsid w:val="003D75BA"/>
    <w:rsid w:val="003D7C9A"/>
    <w:rsid w:val="003D7E5B"/>
    <w:rsid w:val="003D7E89"/>
    <w:rsid w:val="003E0945"/>
    <w:rsid w:val="003E135A"/>
    <w:rsid w:val="003E13BA"/>
    <w:rsid w:val="003E1E18"/>
    <w:rsid w:val="003E2AC7"/>
    <w:rsid w:val="003E2C09"/>
    <w:rsid w:val="003E3AA7"/>
    <w:rsid w:val="003E3C65"/>
    <w:rsid w:val="003E4000"/>
    <w:rsid w:val="003E4B72"/>
    <w:rsid w:val="003E5274"/>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408B"/>
    <w:rsid w:val="00404782"/>
    <w:rsid w:val="00404A5E"/>
    <w:rsid w:val="00405BFD"/>
    <w:rsid w:val="00406270"/>
    <w:rsid w:val="0040667F"/>
    <w:rsid w:val="00406CB8"/>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5B9B"/>
    <w:rsid w:val="00416678"/>
    <w:rsid w:val="00416B3E"/>
    <w:rsid w:val="00416CBD"/>
    <w:rsid w:val="00417449"/>
    <w:rsid w:val="0042009F"/>
    <w:rsid w:val="00420463"/>
    <w:rsid w:val="00420473"/>
    <w:rsid w:val="004206A3"/>
    <w:rsid w:val="0042092B"/>
    <w:rsid w:val="00420CA2"/>
    <w:rsid w:val="00422573"/>
    <w:rsid w:val="0042324F"/>
    <w:rsid w:val="00423E61"/>
    <w:rsid w:val="00425140"/>
    <w:rsid w:val="004260E4"/>
    <w:rsid w:val="0042765D"/>
    <w:rsid w:val="004276B3"/>
    <w:rsid w:val="00427893"/>
    <w:rsid w:val="00427CCB"/>
    <w:rsid w:val="00427E11"/>
    <w:rsid w:val="004307A7"/>
    <w:rsid w:val="00431AC8"/>
    <w:rsid w:val="00431D49"/>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5D33"/>
    <w:rsid w:val="004364E6"/>
    <w:rsid w:val="00436B03"/>
    <w:rsid w:val="00440107"/>
    <w:rsid w:val="004405DB"/>
    <w:rsid w:val="004408D0"/>
    <w:rsid w:val="00440A91"/>
    <w:rsid w:val="00440D33"/>
    <w:rsid w:val="004417FA"/>
    <w:rsid w:val="00441F26"/>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2424"/>
    <w:rsid w:val="00452B9B"/>
    <w:rsid w:val="004531C6"/>
    <w:rsid w:val="00453F3C"/>
    <w:rsid w:val="00454033"/>
    <w:rsid w:val="0045426D"/>
    <w:rsid w:val="004547DA"/>
    <w:rsid w:val="0045484C"/>
    <w:rsid w:val="00454B2B"/>
    <w:rsid w:val="00454C74"/>
    <w:rsid w:val="0045578F"/>
    <w:rsid w:val="00455A43"/>
    <w:rsid w:val="00455CF5"/>
    <w:rsid w:val="00455EEA"/>
    <w:rsid w:val="00456331"/>
    <w:rsid w:val="00456D68"/>
    <w:rsid w:val="0045708F"/>
    <w:rsid w:val="00457134"/>
    <w:rsid w:val="004571A8"/>
    <w:rsid w:val="00457273"/>
    <w:rsid w:val="0045735F"/>
    <w:rsid w:val="004600B3"/>
    <w:rsid w:val="00460B8C"/>
    <w:rsid w:val="00460C43"/>
    <w:rsid w:val="004617DF"/>
    <w:rsid w:val="00461FA8"/>
    <w:rsid w:val="0046304D"/>
    <w:rsid w:val="0046341B"/>
    <w:rsid w:val="00463CB0"/>
    <w:rsid w:val="004648BC"/>
    <w:rsid w:val="004654F4"/>
    <w:rsid w:val="004656E5"/>
    <w:rsid w:val="004664AB"/>
    <w:rsid w:val="004666FF"/>
    <w:rsid w:val="004668EE"/>
    <w:rsid w:val="00466AD4"/>
    <w:rsid w:val="00467DDC"/>
    <w:rsid w:val="00470363"/>
    <w:rsid w:val="00470673"/>
    <w:rsid w:val="00473009"/>
    <w:rsid w:val="00473490"/>
    <w:rsid w:val="0047557A"/>
    <w:rsid w:val="004800D4"/>
    <w:rsid w:val="0048018D"/>
    <w:rsid w:val="0048098D"/>
    <w:rsid w:val="00481253"/>
    <w:rsid w:val="004826C5"/>
    <w:rsid w:val="00482A2E"/>
    <w:rsid w:val="00483807"/>
    <w:rsid w:val="00483A3B"/>
    <w:rsid w:val="004849ED"/>
    <w:rsid w:val="004864E7"/>
    <w:rsid w:val="00487E34"/>
    <w:rsid w:val="00487F1A"/>
    <w:rsid w:val="0049025D"/>
    <w:rsid w:val="0049077F"/>
    <w:rsid w:val="004911FE"/>
    <w:rsid w:val="0049144C"/>
    <w:rsid w:val="00491B6C"/>
    <w:rsid w:val="00491E4F"/>
    <w:rsid w:val="00493161"/>
    <w:rsid w:val="00494353"/>
    <w:rsid w:val="00494DED"/>
    <w:rsid w:val="00495A45"/>
    <w:rsid w:val="00495B28"/>
    <w:rsid w:val="00496EE8"/>
    <w:rsid w:val="004978C4"/>
    <w:rsid w:val="00497989"/>
    <w:rsid w:val="00497B01"/>
    <w:rsid w:val="004A018B"/>
    <w:rsid w:val="004A057E"/>
    <w:rsid w:val="004A09BB"/>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824"/>
    <w:rsid w:val="004A78FC"/>
    <w:rsid w:val="004B2081"/>
    <w:rsid w:val="004B2949"/>
    <w:rsid w:val="004B2FE2"/>
    <w:rsid w:val="004B359F"/>
    <w:rsid w:val="004B3615"/>
    <w:rsid w:val="004B3668"/>
    <w:rsid w:val="004B37A6"/>
    <w:rsid w:val="004B4D9A"/>
    <w:rsid w:val="004B4ED9"/>
    <w:rsid w:val="004B532F"/>
    <w:rsid w:val="004B569C"/>
    <w:rsid w:val="004B5CC8"/>
    <w:rsid w:val="004B5D45"/>
    <w:rsid w:val="004B64DA"/>
    <w:rsid w:val="004B6FE4"/>
    <w:rsid w:val="004B7648"/>
    <w:rsid w:val="004C00C7"/>
    <w:rsid w:val="004C168C"/>
    <w:rsid w:val="004C1D59"/>
    <w:rsid w:val="004C2785"/>
    <w:rsid w:val="004C2DBB"/>
    <w:rsid w:val="004C31B0"/>
    <w:rsid w:val="004C3672"/>
    <w:rsid w:val="004C42A5"/>
    <w:rsid w:val="004C448E"/>
    <w:rsid w:val="004C4C39"/>
    <w:rsid w:val="004C5040"/>
    <w:rsid w:val="004C56FA"/>
    <w:rsid w:val="004C5B56"/>
    <w:rsid w:val="004C6A6A"/>
    <w:rsid w:val="004C76FD"/>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66C"/>
    <w:rsid w:val="004E0757"/>
    <w:rsid w:val="004E0E0A"/>
    <w:rsid w:val="004E0F6F"/>
    <w:rsid w:val="004E26B0"/>
    <w:rsid w:val="004E3BAA"/>
    <w:rsid w:val="004E3F2A"/>
    <w:rsid w:val="004E49A7"/>
    <w:rsid w:val="004E4C3A"/>
    <w:rsid w:val="004E4ED4"/>
    <w:rsid w:val="004E568F"/>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464"/>
    <w:rsid w:val="004F4E30"/>
    <w:rsid w:val="004F5123"/>
    <w:rsid w:val="004F51A5"/>
    <w:rsid w:val="004F57C5"/>
    <w:rsid w:val="004F634E"/>
    <w:rsid w:val="005009A1"/>
    <w:rsid w:val="00500C73"/>
    <w:rsid w:val="00501D57"/>
    <w:rsid w:val="00502E12"/>
    <w:rsid w:val="00503CA7"/>
    <w:rsid w:val="005040DC"/>
    <w:rsid w:val="005056D1"/>
    <w:rsid w:val="005058B1"/>
    <w:rsid w:val="005060C9"/>
    <w:rsid w:val="005062BC"/>
    <w:rsid w:val="005067BE"/>
    <w:rsid w:val="00506A5B"/>
    <w:rsid w:val="00507D23"/>
    <w:rsid w:val="00510D0F"/>
    <w:rsid w:val="005114E8"/>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747"/>
    <w:rsid w:val="00522A1B"/>
    <w:rsid w:val="005230F7"/>
    <w:rsid w:val="005239DA"/>
    <w:rsid w:val="00523F62"/>
    <w:rsid w:val="00524E85"/>
    <w:rsid w:val="0052537B"/>
    <w:rsid w:val="00526DA0"/>
    <w:rsid w:val="00526E9A"/>
    <w:rsid w:val="0053061C"/>
    <w:rsid w:val="00530980"/>
    <w:rsid w:val="00530E60"/>
    <w:rsid w:val="00531052"/>
    <w:rsid w:val="00531634"/>
    <w:rsid w:val="0053200B"/>
    <w:rsid w:val="0053390D"/>
    <w:rsid w:val="0053391C"/>
    <w:rsid w:val="00533D1B"/>
    <w:rsid w:val="00533EBB"/>
    <w:rsid w:val="0053498B"/>
    <w:rsid w:val="00535411"/>
    <w:rsid w:val="00536AA6"/>
    <w:rsid w:val="00536E24"/>
    <w:rsid w:val="00536F91"/>
    <w:rsid w:val="00537C4F"/>
    <w:rsid w:val="005401AB"/>
    <w:rsid w:val="005406FD"/>
    <w:rsid w:val="00540A7A"/>
    <w:rsid w:val="00541796"/>
    <w:rsid w:val="00542BBF"/>
    <w:rsid w:val="00542C22"/>
    <w:rsid w:val="005439DC"/>
    <w:rsid w:val="0054416B"/>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C19"/>
    <w:rsid w:val="00564E6B"/>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81420"/>
    <w:rsid w:val="0058339C"/>
    <w:rsid w:val="005835BC"/>
    <w:rsid w:val="005839B1"/>
    <w:rsid w:val="00585115"/>
    <w:rsid w:val="00585F72"/>
    <w:rsid w:val="0058683E"/>
    <w:rsid w:val="005907AF"/>
    <w:rsid w:val="0059170D"/>
    <w:rsid w:val="00591802"/>
    <w:rsid w:val="00591927"/>
    <w:rsid w:val="00591E1B"/>
    <w:rsid w:val="0059246E"/>
    <w:rsid w:val="0059368A"/>
    <w:rsid w:val="00593998"/>
    <w:rsid w:val="00594559"/>
    <w:rsid w:val="00594585"/>
    <w:rsid w:val="00594B83"/>
    <w:rsid w:val="0059546F"/>
    <w:rsid w:val="0059569D"/>
    <w:rsid w:val="00595DFD"/>
    <w:rsid w:val="005962E8"/>
    <w:rsid w:val="00596A26"/>
    <w:rsid w:val="005A06BF"/>
    <w:rsid w:val="005A0E08"/>
    <w:rsid w:val="005A0F79"/>
    <w:rsid w:val="005A14E9"/>
    <w:rsid w:val="005A200C"/>
    <w:rsid w:val="005A249D"/>
    <w:rsid w:val="005A25A9"/>
    <w:rsid w:val="005A3098"/>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740"/>
    <w:rsid w:val="005B3AB0"/>
    <w:rsid w:val="005B439C"/>
    <w:rsid w:val="005B5500"/>
    <w:rsid w:val="005B5C6C"/>
    <w:rsid w:val="005B5DD8"/>
    <w:rsid w:val="005B5E3D"/>
    <w:rsid w:val="005B63CF"/>
    <w:rsid w:val="005B67DB"/>
    <w:rsid w:val="005B6AE7"/>
    <w:rsid w:val="005B7B33"/>
    <w:rsid w:val="005C0C04"/>
    <w:rsid w:val="005C149B"/>
    <w:rsid w:val="005C1564"/>
    <w:rsid w:val="005C18D1"/>
    <w:rsid w:val="005C1A80"/>
    <w:rsid w:val="005C1BAC"/>
    <w:rsid w:val="005C1D58"/>
    <w:rsid w:val="005C2FAB"/>
    <w:rsid w:val="005C4771"/>
    <w:rsid w:val="005D0198"/>
    <w:rsid w:val="005D04CF"/>
    <w:rsid w:val="005D102F"/>
    <w:rsid w:val="005D15AA"/>
    <w:rsid w:val="005D1E32"/>
    <w:rsid w:val="005D22E9"/>
    <w:rsid w:val="005D27F1"/>
    <w:rsid w:val="005D2B99"/>
    <w:rsid w:val="005D2EDC"/>
    <w:rsid w:val="005D3BD4"/>
    <w:rsid w:val="005D45BF"/>
    <w:rsid w:val="005D4F95"/>
    <w:rsid w:val="005D55E0"/>
    <w:rsid w:val="005D5D53"/>
    <w:rsid w:val="005D64CC"/>
    <w:rsid w:val="005E0FDA"/>
    <w:rsid w:val="005E1BA4"/>
    <w:rsid w:val="005E1C49"/>
    <w:rsid w:val="005E25C0"/>
    <w:rsid w:val="005E33CB"/>
    <w:rsid w:val="005E3A79"/>
    <w:rsid w:val="005E3BEA"/>
    <w:rsid w:val="005E3FF7"/>
    <w:rsid w:val="005E4118"/>
    <w:rsid w:val="005E4553"/>
    <w:rsid w:val="005E5852"/>
    <w:rsid w:val="005E61DD"/>
    <w:rsid w:val="005E68C4"/>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392"/>
    <w:rsid w:val="006159EA"/>
    <w:rsid w:val="006161F7"/>
    <w:rsid w:val="00616330"/>
    <w:rsid w:val="00616DBA"/>
    <w:rsid w:val="00617482"/>
    <w:rsid w:val="00620346"/>
    <w:rsid w:val="00620586"/>
    <w:rsid w:val="00620F45"/>
    <w:rsid w:val="0062136C"/>
    <w:rsid w:val="00621698"/>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F6E"/>
    <w:rsid w:val="006620AC"/>
    <w:rsid w:val="006626F4"/>
    <w:rsid w:val="006628A2"/>
    <w:rsid w:val="00662D4B"/>
    <w:rsid w:val="006632F2"/>
    <w:rsid w:val="006641D7"/>
    <w:rsid w:val="0066437F"/>
    <w:rsid w:val="006653C6"/>
    <w:rsid w:val="00665805"/>
    <w:rsid w:val="00665EBF"/>
    <w:rsid w:val="00666231"/>
    <w:rsid w:val="00666C16"/>
    <w:rsid w:val="00666C6B"/>
    <w:rsid w:val="00670E8A"/>
    <w:rsid w:val="006711B5"/>
    <w:rsid w:val="00671ABF"/>
    <w:rsid w:val="006720C6"/>
    <w:rsid w:val="00672A7E"/>
    <w:rsid w:val="00672C92"/>
    <w:rsid w:val="006766AD"/>
    <w:rsid w:val="0067752F"/>
    <w:rsid w:val="006776EA"/>
    <w:rsid w:val="006807A4"/>
    <w:rsid w:val="00681A7F"/>
    <w:rsid w:val="00682ACB"/>
    <w:rsid w:val="00683013"/>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ADC"/>
    <w:rsid w:val="006F12C1"/>
    <w:rsid w:val="006F1A57"/>
    <w:rsid w:val="006F1EFC"/>
    <w:rsid w:val="006F23E2"/>
    <w:rsid w:val="006F25EB"/>
    <w:rsid w:val="006F2608"/>
    <w:rsid w:val="006F264A"/>
    <w:rsid w:val="006F271D"/>
    <w:rsid w:val="006F2AAC"/>
    <w:rsid w:val="006F2B34"/>
    <w:rsid w:val="006F3350"/>
    <w:rsid w:val="006F344E"/>
    <w:rsid w:val="006F4A69"/>
    <w:rsid w:val="006F5441"/>
    <w:rsid w:val="006F5616"/>
    <w:rsid w:val="006F66CA"/>
    <w:rsid w:val="00700428"/>
    <w:rsid w:val="0070147E"/>
    <w:rsid w:val="00701DD9"/>
    <w:rsid w:val="00703BAD"/>
    <w:rsid w:val="00703DA5"/>
    <w:rsid w:val="007044C2"/>
    <w:rsid w:val="00704E82"/>
    <w:rsid w:val="007056E0"/>
    <w:rsid w:val="00706433"/>
    <w:rsid w:val="007065AF"/>
    <w:rsid w:val="00706C12"/>
    <w:rsid w:val="00710041"/>
    <w:rsid w:val="00710786"/>
    <w:rsid w:val="00710E66"/>
    <w:rsid w:val="007112F3"/>
    <w:rsid w:val="007117F5"/>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EF5"/>
    <w:rsid w:val="0072642A"/>
    <w:rsid w:val="0072653D"/>
    <w:rsid w:val="00727B6B"/>
    <w:rsid w:val="00730008"/>
    <w:rsid w:val="00733141"/>
    <w:rsid w:val="00733847"/>
    <w:rsid w:val="007343C1"/>
    <w:rsid w:val="00734D4B"/>
    <w:rsid w:val="00735090"/>
    <w:rsid w:val="007357BC"/>
    <w:rsid w:val="00735829"/>
    <w:rsid w:val="00735C8D"/>
    <w:rsid w:val="00737272"/>
    <w:rsid w:val="00741BEB"/>
    <w:rsid w:val="00741E40"/>
    <w:rsid w:val="00743E52"/>
    <w:rsid w:val="00744037"/>
    <w:rsid w:val="00744062"/>
    <w:rsid w:val="00744D9D"/>
    <w:rsid w:val="0074516B"/>
    <w:rsid w:val="00745AC8"/>
    <w:rsid w:val="007462CC"/>
    <w:rsid w:val="00746361"/>
    <w:rsid w:val="00746378"/>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998"/>
    <w:rsid w:val="00790ECA"/>
    <w:rsid w:val="0079116B"/>
    <w:rsid w:val="00792156"/>
    <w:rsid w:val="007921F2"/>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A72"/>
    <w:rsid w:val="007A5BA1"/>
    <w:rsid w:val="007A5BF8"/>
    <w:rsid w:val="007A63E0"/>
    <w:rsid w:val="007A6580"/>
    <w:rsid w:val="007A6716"/>
    <w:rsid w:val="007A6BC7"/>
    <w:rsid w:val="007A7372"/>
    <w:rsid w:val="007B01F3"/>
    <w:rsid w:val="007B039D"/>
    <w:rsid w:val="007B07D8"/>
    <w:rsid w:val="007B0B42"/>
    <w:rsid w:val="007B1015"/>
    <w:rsid w:val="007B1820"/>
    <w:rsid w:val="007B1A7A"/>
    <w:rsid w:val="007B24FB"/>
    <w:rsid w:val="007B25FE"/>
    <w:rsid w:val="007B275A"/>
    <w:rsid w:val="007B2AE9"/>
    <w:rsid w:val="007B2F8F"/>
    <w:rsid w:val="007B3C0A"/>
    <w:rsid w:val="007B4286"/>
    <w:rsid w:val="007B4D27"/>
    <w:rsid w:val="007B5147"/>
    <w:rsid w:val="007B51C1"/>
    <w:rsid w:val="007B5ED7"/>
    <w:rsid w:val="007B613D"/>
    <w:rsid w:val="007B6A3E"/>
    <w:rsid w:val="007B7108"/>
    <w:rsid w:val="007B77BB"/>
    <w:rsid w:val="007B77D2"/>
    <w:rsid w:val="007B7D2D"/>
    <w:rsid w:val="007C0814"/>
    <w:rsid w:val="007C0CE4"/>
    <w:rsid w:val="007C2899"/>
    <w:rsid w:val="007C2CAC"/>
    <w:rsid w:val="007C3A39"/>
    <w:rsid w:val="007C3DD4"/>
    <w:rsid w:val="007C450C"/>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E0F"/>
    <w:rsid w:val="007E3DF9"/>
    <w:rsid w:val="007E4C2B"/>
    <w:rsid w:val="007E5E1E"/>
    <w:rsid w:val="007E714D"/>
    <w:rsid w:val="007E74B9"/>
    <w:rsid w:val="007E7BBE"/>
    <w:rsid w:val="007E7C37"/>
    <w:rsid w:val="007F1504"/>
    <w:rsid w:val="007F26E7"/>
    <w:rsid w:val="007F2764"/>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E57"/>
    <w:rsid w:val="0081034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6CAA"/>
    <w:rsid w:val="0083743A"/>
    <w:rsid w:val="00837728"/>
    <w:rsid w:val="00837A0C"/>
    <w:rsid w:val="00840382"/>
    <w:rsid w:val="00840A31"/>
    <w:rsid w:val="00840D4F"/>
    <w:rsid w:val="008425DF"/>
    <w:rsid w:val="00842A5F"/>
    <w:rsid w:val="0084300A"/>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353"/>
    <w:rsid w:val="00880A02"/>
    <w:rsid w:val="008818B3"/>
    <w:rsid w:val="00881AD7"/>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5192"/>
    <w:rsid w:val="00895EAF"/>
    <w:rsid w:val="00896C44"/>
    <w:rsid w:val="0089750E"/>
    <w:rsid w:val="008A0020"/>
    <w:rsid w:val="008A0247"/>
    <w:rsid w:val="008A1190"/>
    <w:rsid w:val="008A1BA8"/>
    <w:rsid w:val="008A3040"/>
    <w:rsid w:val="008A3173"/>
    <w:rsid w:val="008A55A1"/>
    <w:rsid w:val="008A56C3"/>
    <w:rsid w:val="008A5AA9"/>
    <w:rsid w:val="008A6F41"/>
    <w:rsid w:val="008A7679"/>
    <w:rsid w:val="008A787C"/>
    <w:rsid w:val="008A7B06"/>
    <w:rsid w:val="008A7D16"/>
    <w:rsid w:val="008B0122"/>
    <w:rsid w:val="008B0E07"/>
    <w:rsid w:val="008B0F1F"/>
    <w:rsid w:val="008B1534"/>
    <w:rsid w:val="008B162B"/>
    <w:rsid w:val="008B1BF0"/>
    <w:rsid w:val="008B1D52"/>
    <w:rsid w:val="008B1EBC"/>
    <w:rsid w:val="008B288C"/>
    <w:rsid w:val="008B508B"/>
    <w:rsid w:val="008B530B"/>
    <w:rsid w:val="008B5C6B"/>
    <w:rsid w:val="008B6194"/>
    <w:rsid w:val="008B67A8"/>
    <w:rsid w:val="008B712C"/>
    <w:rsid w:val="008B71EA"/>
    <w:rsid w:val="008B77D8"/>
    <w:rsid w:val="008B7AA9"/>
    <w:rsid w:val="008B7D2C"/>
    <w:rsid w:val="008C186A"/>
    <w:rsid w:val="008C1E44"/>
    <w:rsid w:val="008C236D"/>
    <w:rsid w:val="008C239D"/>
    <w:rsid w:val="008C247F"/>
    <w:rsid w:val="008C2F8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2E06"/>
    <w:rsid w:val="008E2EAB"/>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FB4"/>
    <w:rsid w:val="008F4593"/>
    <w:rsid w:val="008F4AA7"/>
    <w:rsid w:val="008F4C8F"/>
    <w:rsid w:val="008F4F60"/>
    <w:rsid w:val="008F5D27"/>
    <w:rsid w:val="008F5DDD"/>
    <w:rsid w:val="008F6293"/>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6618"/>
    <w:rsid w:val="0091693B"/>
    <w:rsid w:val="00917D10"/>
    <w:rsid w:val="00917F39"/>
    <w:rsid w:val="009212F5"/>
    <w:rsid w:val="00921A9F"/>
    <w:rsid w:val="00922BF5"/>
    <w:rsid w:val="00922CCB"/>
    <w:rsid w:val="00924300"/>
    <w:rsid w:val="00924C8B"/>
    <w:rsid w:val="00924CC3"/>
    <w:rsid w:val="00924FC7"/>
    <w:rsid w:val="009253D9"/>
    <w:rsid w:val="00926254"/>
    <w:rsid w:val="00926633"/>
    <w:rsid w:val="00926700"/>
    <w:rsid w:val="00927563"/>
    <w:rsid w:val="00930257"/>
    <w:rsid w:val="00930AE5"/>
    <w:rsid w:val="00931E9F"/>
    <w:rsid w:val="0093206A"/>
    <w:rsid w:val="00932984"/>
    <w:rsid w:val="00932A0B"/>
    <w:rsid w:val="00932DEB"/>
    <w:rsid w:val="00933232"/>
    <w:rsid w:val="0093331B"/>
    <w:rsid w:val="00933733"/>
    <w:rsid w:val="00934287"/>
    <w:rsid w:val="00934B14"/>
    <w:rsid w:val="00935672"/>
    <w:rsid w:val="0093586C"/>
    <w:rsid w:val="0093645C"/>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50A21"/>
    <w:rsid w:val="0095156C"/>
    <w:rsid w:val="00952E1F"/>
    <w:rsid w:val="00953AD9"/>
    <w:rsid w:val="00956E58"/>
    <w:rsid w:val="00956F06"/>
    <w:rsid w:val="00957733"/>
    <w:rsid w:val="0096172C"/>
    <w:rsid w:val="00961E05"/>
    <w:rsid w:val="009638FF"/>
    <w:rsid w:val="00963CDF"/>
    <w:rsid w:val="00964D7C"/>
    <w:rsid w:val="009650A3"/>
    <w:rsid w:val="00965236"/>
    <w:rsid w:val="00966CE9"/>
    <w:rsid w:val="009674D8"/>
    <w:rsid w:val="00967B55"/>
    <w:rsid w:val="00967E9D"/>
    <w:rsid w:val="009702C6"/>
    <w:rsid w:val="00970542"/>
    <w:rsid w:val="00970C24"/>
    <w:rsid w:val="00970F2A"/>
    <w:rsid w:val="00970FB8"/>
    <w:rsid w:val="00971598"/>
    <w:rsid w:val="009715E8"/>
    <w:rsid w:val="009717E4"/>
    <w:rsid w:val="00971BED"/>
    <w:rsid w:val="00972020"/>
    <w:rsid w:val="009720D7"/>
    <w:rsid w:val="0097248C"/>
    <w:rsid w:val="009724C9"/>
    <w:rsid w:val="00972523"/>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6FA"/>
    <w:rsid w:val="00985D66"/>
    <w:rsid w:val="00986249"/>
    <w:rsid w:val="00986516"/>
    <w:rsid w:val="0098735D"/>
    <w:rsid w:val="00987AAC"/>
    <w:rsid w:val="00987B24"/>
    <w:rsid w:val="00987EB9"/>
    <w:rsid w:val="00990C85"/>
    <w:rsid w:val="009915FA"/>
    <w:rsid w:val="00992AFE"/>
    <w:rsid w:val="00992BA7"/>
    <w:rsid w:val="00992E73"/>
    <w:rsid w:val="009936B3"/>
    <w:rsid w:val="00995AD7"/>
    <w:rsid w:val="00995C97"/>
    <w:rsid w:val="00995D4E"/>
    <w:rsid w:val="00996D33"/>
    <w:rsid w:val="00997311"/>
    <w:rsid w:val="00997B64"/>
    <w:rsid w:val="009A0B07"/>
    <w:rsid w:val="009A12B7"/>
    <w:rsid w:val="009A2087"/>
    <w:rsid w:val="009A303D"/>
    <w:rsid w:val="009A39B2"/>
    <w:rsid w:val="009A3A33"/>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35E0"/>
    <w:rsid w:val="009C40A0"/>
    <w:rsid w:val="009C56C2"/>
    <w:rsid w:val="009C5994"/>
    <w:rsid w:val="009C5E2C"/>
    <w:rsid w:val="009C729F"/>
    <w:rsid w:val="009C7779"/>
    <w:rsid w:val="009C7D51"/>
    <w:rsid w:val="009D0472"/>
    <w:rsid w:val="009D05AE"/>
    <w:rsid w:val="009D0AE4"/>
    <w:rsid w:val="009D0EC5"/>
    <w:rsid w:val="009D12E9"/>
    <w:rsid w:val="009D1398"/>
    <w:rsid w:val="009D1A21"/>
    <w:rsid w:val="009D1BEB"/>
    <w:rsid w:val="009D31F7"/>
    <w:rsid w:val="009D34F2"/>
    <w:rsid w:val="009D3787"/>
    <w:rsid w:val="009D3A57"/>
    <w:rsid w:val="009D469B"/>
    <w:rsid w:val="009D4B19"/>
    <w:rsid w:val="009D4DA1"/>
    <w:rsid w:val="009D538E"/>
    <w:rsid w:val="009D636C"/>
    <w:rsid w:val="009D64D3"/>
    <w:rsid w:val="009E02B8"/>
    <w:rsid w:val="009E06C1"/>
    <w:rsid w:val="009E0D10"/>
    <w:rsid w:val="009E16C4"/>
    <w:rsid w:val="009E1C12"/>
    <w:rsid w:val="009E2090"/>
    <w:rsid w:val="009E2B8B"/>
    <w:rsid w:val="009E2BFA"/>
    <w:rsid w:val="009E344D"/>
    <w:rsid w:val="009E364A"/>
    <w:rsid w:val="009E3CE8"/>
    <w:rsid w:val="009E3DF7"/>
    <w:rsid w:val="009E3EAF"/>
    <w:rsid w:val="009E4131"/>
    <w:rsid w:val="009E4371"/>
    <w:rsid w:val="009E5913"/>
    <w:rsid w:val="009E5D04"/>
    <w:rsid w:val="009E60F1"/>
    <w:rsid w:val="009F1AD5"/>
    <w:rsid w:val="009F1E83"/>
    <w:rsid w:val="009F1EA7"/>
    <w:rsid w:val="009F24CD"/>
    <w:rsid w:val="009F2A98"/>
    <w:rsid w:val="009F3F32"/>
    <w:rsid w:val="009F4852"/>
    <w:rsid w:val="009F4DCF"/>
    <w:rsid w:val="009F5572"/>
    <w:rsid w:val="009F5594"/>
    <w:rsid w:val="009F5F96"/>
    <w:rsid w:val="009F6063"/>
    <w:rsid w:val="009F6667"/>
    <w:rsid w:val="009F6BBA"/>
    <w:rsid w:val="00A00695"/>
    <w:rsid w:val="00A00E06"/>
    <w:rsid w:val="00A01E00"/>
    <w:rsid w:val="00A0230A"/>
    <w:rsid w:val="00A02701"/>
    <w:rsid w:val="00A02EA5"/>
    <w:rsid w:val="00A041DF"/>
    <w:rsid w:val="00A046C9"/>
    <w:rsid w:val="00A05586"/>
    <w:rsid w:val="00A05ADC"/>
    <w:rsid w:val="00A06AC1"/>
    <w:rsid w:val="00A10553"/>
    <w:rsid w:val="00A10639"/>
    <w:rsid w:val="00A106F5"/>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7A0D"/>
    <w:rsid w:val="00A30A1F"/>
    <w:rsid w:val="00A30EB2"/>
    <w:rsid w:val="00A30FD3"/>
    <w:rsid w:val="00A31DF6"/>
    <w:rsid w:val="00A32038"/>
    <w:rsid w:val="00A32146"/>
    <w:rsid w:val="00A3242F"/>
    <w:rsid w:val="00A32F74"/>
    <w:rsid w:val="00A33A9F"/>
    <w:rsid w:val="00A34AF3"/>
    <w:rsid w:val="00A353DA"/>
    <w:rsid w:val="00A360B2"/>
    <w:rsid w:val="00A36B2E"/>
    <w:rsid w:val="00A36F22"/>
    <w:rsid w:val="00A3716C"/>
    <w:rsid w:val="00A405C8"/>
    <w:rsid w:val="00A406A1"/>
    <w:rsid w:val="00A4077E"/>
    <w:rsid w:val="00A40838"/>
    <w:rsid w:val="00A40936"/>
    <w:rsid w:val="00A412EA"/>
    <w:rsid w:val="00A41459"/>
    <w:rsid w:val="00A41F6D"/>
    <w:rsid w:val="00A422B5"/>
    <w:rsid w:val="00A42396"/>
    <w:rsid w:val="00A42BB7"/>
    <w:rsid w:val="00A439A3"/>
    <w:rsid w:val="00A43BAD"/>
    <w:rsid w:val="00A44A63"/>
    <w:rsid w:val="00A4532C"/>
    <w:rsid w:val="00A465FD"/>
    <w:rsid w:val="00A478B9"/>
    <w:rsid w:val="00A50356"/>
    <w:rsid w:val="00A50A52"/>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5954"/>
    <w:rsid w:val="00A772CD"/>
    <w:rsid w:val="00A819C2"/>
    <w:rsid w:val="00A820C1"/>
    <w:rsid w:val="00A84467"/>
    <w:rsid w:val="00A846BC"/>
    <w:rsid w:val="00A84762"/>
    <w:rsid w:val="00A865CB"/>
    <w:rsid w:val="00A87269"/>
    <w:rsid w:val="00A90E8E"/>
    <w:rsid w:val="00A910D5"/>
    <w:rsid w:val="00A910DF"/>
    <w:rsid w:val="00A924C4"/>
    <w:rsid w:val="00A93511"/>
    <w:rsid w:val="00A93517"/>
    <w:rsid w:val="00A9390A"/>
    <w:rsid w:val="00A9473F"/>
    <w:rsid w:val="00A950BA"/>
    <w:rsid w:val="00A9538F"/>
    <w:rsid w:val="00A962C1"/>
    <w:rsid w:val="00A96E9A"/>
    <w:rsid w:val="00A96F01"/>
    <w:rsid w:val="00AA0757"/>
    <w:rsid w:val="00AA114B"/>
    <w:rsid w:val="00AA2AA4"/>
    <w:rsid w:val="00AA302F"/>
    <w:rsid w:val="00AA36A1"/>
    <w:rsid w:val="00AA3E87"/>
    <w:rsid w:val="00AA3F05"/>
    <w:rsid w:val="00AA6F39"/>
    <w:rsid w:val="00AA7137"/>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2148"/>
    <w:rsid w:val="00AC3841"/>
    <w:rsid w:val="00AC4CCF"/>
    <w:rsid w:val="00AC4E0E"/>
    <w:rsid w:val="00AC503E"/>
    <w:rsid w:val="00AC57EA"/>
    <w:rsid w:val="00AC5991"/>
    <w:rsid w:val="00AC636B"/>
    <w:rsid w:val="00AC6AF7"/>
    <w:rsid w:val="00AC7BF8"/>
    <w:rsid w:val="00AC7D19"/>
    <w:rsid w:val="00AD06E7"/>
    <w:rsid w:val="00AD0F8B"/>
    <w:rsid w:val="00AD1C2C"/>
    <w:rsid w:val="00AD29AF"/>
    <w:rsid w:val="00AD3B5A"/>
    <w:rsid w:val="00AD41B3"/>
    <w:rsid w:val="00AD4B00"/>
    <w:rsid w:val="00AD4D5B"/>
    <w:rsid w:val="00AD5632"/>
    <w:rsid w:val="00AD5D53"/>
    <w:rsid w:val="00AD6A26"/>
    <w:rsid w:val="00AD742B"/>
    <w:rsid w:val="00AE0026"/>
    <w:rsid w:val="00AE0243"/>
    <w:rsid w:val="00AE02A8"/>
    <w:rsid w:val="00AE0B34"/>
    <w:rsid w:val="00AE1BA3"/>
    <w:rsid w:val="00AE1F4E"/>
    <w:rsid w:val="00AE233C"/>
    <w:rsid w:val="00AE26C0"/>
    <w:rsid w:val="00AE2B4E"/>
    <w:rsid w:val="00AE2E49"/>
    <w:rsid w:val="00AE3F36"/>
    <w:rsid w:val="00AE3FC4"/>
    <w:rsid w:val="00AE43B4"/>
    <w:rsid w:val="00AE4600"/>
    <w:rsid w:val="00AE6813"/>
    <w:rsid w:val="00AE6CD5"/>
    <w:rsid w:val="00AE6D4A"/>
    <w:rsid w:val="00AE6E42"/>
    <w:rsid w:val="00AE6E5A"/>
    <w:rsid w:val="00AE7AD2"/>
    <w:rsid w:val="00AF05F1"/>
    <w:rsid w:val="00AF1CEE"/>
    <w:rsid w:val="00AF1DC6"/>
    <w:rsid w:val="00AF2DFC"/>
    <w:rsid w:val="00AF34CB"/>
    <w:rsid w:val="00AF3F60"/>
    <w:rsid w:val="00AF43B8"/>
    <w:rsid w:val="00AF4542"/>
    <w:rsid w:val="00AF47BA"/>
    <w:rsid w:val="00AF4CC5"/>
    <w:rsid w:val="00AF4D1F"/>
    <w:rsid w:val="00AF5C27"/>
    <w:rsid w:val="00AF5F40"/>
    <w:rsid w:val="00AF607E"/>
    <w:rsid w:val="00AF6467"/>
    <w:rsid w:val="00AF7C71"/>
    <w:rsid w:val="00B006E0"/>
    <w:rsid w:val="00B01CD4"/>
    <w:rsid w:val="00B0241B"/>
    <w:rsid w:val="00B0362D"/>
    <w:rsid w:val="00B03A4C"/>
    <w:rsid w:val="00B055D1"/>
    <w:rsid w:val="00B05CC2"/>
    <w:rsid w:val="00B060C4"/>
    <w:rsid w:val="00B07EED"/>
    <w:rsid w:val="00B103AC"/>
    <w:rsid w:val="00B114D9"/>
    <w:rsid w:val="00B119CA"/>
    <w:rsid w:val="00B123EF"/>
    <w:rsid w:val="00B1264E"/>
    <w:rsid w:val="00B12DA9"/>
    <w:rsid w:val="00B12EF5"/>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E79"/>
    <w:rsid w:val="00B341C2"/>
    <w:rsid w:val="00B34DBA"/>
    <w:rsid w:val="00B3595D"/>
    <w:rsid w:val="00B35C50"/>
    <w:rsid w:val="00B35CA5"/>
    <w:rsid w:val="00B36568"/>
    <w:rsid w:val="00B369F0"/>
    <w:rsid w:val="00B40947"/>
    <w:rsid w:val="00B40963"/>
    <w:rsid w:val="00B4116F"/>
    <w:rsid w:val="00B41812"/>
    <w:rsid w:val="00B41903"/>
    <w:rsid w:val="00B4255A"/>
    <w:rsid w:val="00B429A7"/>
    <w:rsid w:val="00B44F64"/>
    <w:rsid w:val="00B46C29"/>
    <w:rsid w:val="00B47689"/>
    <w:rsid w:val="00B47F5B"/>
    <w:rsid w:val="00B501AE"/>
    <w:rsid w:val="00B518FC"/>
    <w:rsid w:val="00B52806"/>
    <w:rsid w:val="00B52C1F"/>
    <w:rsid w:val="00B532DC"/>
    <w:rsid w:val="00B5424E"/>
    <w:rsid w:val="00B547A0"/>
    <w:rsid w:val="00B55184"/>
    <w:rsid w:val="00B55C10"/>
    <w:rsid w:val="00B55DC4"/>
    <w:rsid w:val="00B55EAE"/>
    <w:rsid w:val="00B55F77"/>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601C"/>
    <w:rsid w:val="00B86103"/>
    <w:rsid w:val="00B865B0"/>
    <w:rsid w:val="00B86827"/>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5210"/>
    <w:rsid w:val="00BA721C"/>
    <w:rsid w:val="00BA7657"/>
    <w:rsid w:val="00BA7836"/>
    <w:rsid w:val="00BA79B0"/>
    <w:rsid w:val="00BA7B81"/>
    <w:rsid w:val="00BB1881"/>
    <w:rsid w:val="00BB33C1"/>
    <w:rsid w:val="00BB44D1"/>
    <w:rsid w:val="00BB5056"/>
    <w:rsid w:val="00BB5084"/>
    <w:rsid w:val="00BB5AD0"/>
    <w:rsid w:val="00BB6EC1"/>
    <w:rsid w:val="00BB714D"/>
    <w:rsid w:val="00BB733F"/>
    <w:rsid w:val="00BC0638"/>
    <w:rsid w:val="00BC06E2"/>
    <w:rsid w:val="00BC0ED5"/>
    <w:rsid w:val="00BC136C"/>
    <w:rsid w:val="00BC13A4"/>
    <w:rsid w:val="00BC34C1"/>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B29"/>
    <w:rsid w:val="00BD2CE3"/>
    <w:rsid w:val="00BD2DBE"/>
    <w:rsid w:val="00BD30D6"/>
    <w:rsid w:val="00BD3BFC"/>
    <w:rsid w:val="00BD42DF"/>
    <w:rsid w:val="00BD4732"/>
    <w:rsid w:val="00BD4DA5"/>
    <w:rsid w:val="00BD4DEA"/>
    <w:rsid w:val="00BD4E2F"/>
    <w:rsid w:val="00BD52F0"/>
    <w:rsid w:val="00BD591F"/>
    <w:rsid w:val="00BD5C7E"/>
    <w:rsid w:val="00BD5F80"/>
    <w:rsid w:val="00BD630D"/>
    <w:rsid w:val="00BD7AD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270A"/>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6A3"/>
    <w:rsid w:val="00C32B58"/>
    <w:rsid w:val="00C333C0"/>
    <w:rsid w:val="00C33FED"/>
    <w:rsid w:val="00C3495F"/>
    <w:rsid w:val="00C35193"/>
    <w:rsid w:val="00C353FD"/>
    <w:rsid w:val="00C356E0"/>
    <w:rsid w:val="00C359C7"/>
    <w:rsid w:val="00C3612D"/>
    <w:rsid w:val="00C365D0"/>
    <w:rsid w:val="00C366F9"/>
    <w:rsid w:val="00C36A08"/>
    <w:rsid w:val="00C37119"/>
    <w:rsid w:val="00C371E2"/>
    <w:rsid w:val="00C400FB"/>
    <w:rsid w:val="00C409DF"/>
    <w:rsid w:val="00C40E98"/>
    <w:rsid w:val="00C411B3"/>
    <w:rsid w:val="00C41582"/>
    <w:rsid w:val="00C41A47"/>
    <w:rsid w:val="00C41A63"/>
    <w:rsid w:val="00C41E15"/>
    <w:rsid w:val="00C420A0"/>
    <w:rsid w:val="00C42D54"/>
    <w:rsid w:val="00C42E5A"/>
    <w:rsid w:val="00C43240"/>
    <w:rsid w:val="00C43821"/>
    <w:rsid w:val="00C4397B"/>
    <w:rsid w:val="00C43D60"/>
    <w:rsid w:val="00C440FF"/>
    <w:rsid w:val="00C44EF7"/>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57AEB"/>
    <w:rsid w:val="00C60185"/>
    <w:rsid w:val="00C60365"/>
    <w:rsid w:val="00C61CBA"/>
    <w:rsid w:val="00C623E9"/>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9F4"/>
    <w:rsid w:val="00C902FB"/>
    <w:rsid w:val="00C907E7"/>
    <w:rsid w:val="00C912B2"/>
    <w:rsid w:val="00C92159"/>
    <w:rsid w:val="00C93D64"/>
    <w:rsid w:val="00C9413B"/>
    <w:rsid w:val="00C94A71"/>
    <w:rsid w:val="00C94B9C"/>
    <w:rsid w:val="00C95A23"/>
    <w:rsid w:val="00C95B85"/>
    <w:rsid w:val="00C95F72"/>
    <w:rsid w:val="00C9661C"/>
    <w:rsid w:val="00C968FB"/>
    <w:rsid w:val="00C977B8"/>
    <w:rsid w:val="00CA001A"/>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831"/>
    <w:rsid w:val="00CC6BD2"/>
    <w:rsid w:val="00CC6EB6"/>
    <w:rsid w:val="00CD0DB2"/>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C0D"/>
    <w:rsid w:val="00CE5D58"/>
    <w:rsid w:val="00CE5EEE"/>
    <w:rsid w:val="00CE6D31"/>
    <w:rsid w:val="00CF12FA"/>
    <w:rsid w:val="00CF19AF"/>
    <w:rsid w:val="00CF1B79"/>
    <w:rsid w:val="00CF26AD"/>
    <w:rsid w:val="00CF394E"/>
    <w:rsid w:val="00CF3DC9"/>
    <w:rsid w:val="00CF402E"/>
    <w:rsid w:val="00CF4779"/>
    <w:rsid w:val="00CF4A4A"/>
    <w:rsid w:val="00CF4CCB"/>
    <w:rsid w:val="00CF4D51"/>
    <w:rsid w:val="00CF4DB5"/>
    <w:rsid w:val="00CF583F"/>
    <w:rsid w:val="00CF662D"/>
    <w:rsid w:val="00CF7097"/>
    <w:rsid w:val="00CF7162"/>
    <w:rsid w:val="00CF78AD"/>
    <w:rsid w:val="00CF7DFA"/>
    <w:rsid w:val="00D00F77"/>
    <w:rsid w:val="00D01053"/>
    <w:rsid w:val="00D017C2"/>
    <w:rsid w:val="00D02735"/>
    <w:rsid w:val="00D02A76"/>
    <w:rsid w:val="00D02E60"/>
    <w:rsid w:val="00D02E6A"/>
    <w:rsid w:val="00D03625"/>
    <w:rsid w:val="00D041CD"/>
    <w:rsid w:val="00D0463D"/>
    <w:rsid w:val="00D04788"/>
    <w:rsid w:val="00D049F4"/>
    <w:rsid w:val="00D04A25"/>
    <w:rsid w:val="00D05BA8"/>
    <w:rsid w:val="00D06469"/>
    <w:rsid w:val="00D06AE1"/>
    <w:rsid w:val="00D06EF9"/>
    <w:rsid w:val="00D0711E"/>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284F"/>
    <w:rsid w:val="00D32894"/>
    <w:rsid w:val="00D330CF"/>
    <w:rsid w:val="00D34018"/>
    <w:rsid w:val="00D34992"/>
    <w:rsid w:val="00D34A66"/>
    <w:rsid w:val="00D353BB"/>
    <w:rsid w:val="00D3554A"/>
    <w:rsid w:val="00D3647B"/>
    <w:rsid w:val="00D36FFB"/>
    <w:rsid w:val="00D37489"/>
    <w:rsid w:val="00D3771D"/>
    <w:rsid w:val="00D37805"/>
    <w:rsid w:val="00D37B0D"/>
    <w:rsid w:val="00D403B2"/>
    <w:rsid w:val="00D40C7E"/>
    <w:rsid w:val="00D40D43"/>
    <w:rsid w:val="00D41A76"/>
    <w:rsid w:val="00D421A4"/>
    <w:rsid w:val="00D421F0"/>
    <w:rsid w:val="00D428CB"/>
    <w:rsid w:val="00D42F95"/>
    <w:rsid w:val="00D438A7"/>
    <w:rsid w:val="00D447BF"/>
    <w:rsid w:val="00D4495E"/>
    <w:rsid w:val="00D44A9B"/>
    <w:rsid w:val="00D45305"/>
    <w:rsid w:val="00D454EB"/>
    <w:rsid w:val="00D4587B"/>
    <w:rsid w:val="00D45B84"/>
    <w:rsid w:val="00D46390"/>
    <w:rsid w:val="00D463F4"/>
    <w:rsid w:val="00D46A64"/>
    <w:rsid w:val="00D47373"/>
    <w:rsid w:val="00D47BFA"/>
    <w:rsid w:val="00D47FD8"/>
    <w:rsid w:val="00D502FD"/>
    <w:rsid w:val="00D511E0"/>
    <w:rsid w:val="00D5140B"/>
    <w:rsid w:val="00D55730"/>
    <w:rsid w:val="00D56413"/>
    <w:rsid w:val="00D5643E"/>
    <w:rsid w:val="00D57343"/>
    <w:rsid w:val="00D5753D"/>
    <w:rsid w:val="00D605DD"/>
    <w:rsid w:val="00D61211"/>
    <w:rsid w:val="00D616BA"/>
    <w:rsid w:val="00D61834"/>
    <w:rsid w:val="00D621B2"/>
    <w:rsid w:val="00D622B3"/>
    <w:rsid w:val="00D6402B"/>
    <w:rsid w:val="00D64463"/>
    <w:rsid w:val="00D64AF3"/>
    <w:rsid w:val="00D65A19"/>
    <w:rsid w:val="00D66E12"/>
    <w:rsid w:val="00D66E8F"/>
    <w:rsid w:val="00D67CF5"/>
    <w:rsid w:val="00D709CD"/>
    <w:rsid w:val="00D70BCF"/>
    <w:rsid w:val="00D728E3"/>
    <w:rsid w:val="00D7307D"/>
    <w:rsid w:val="00D73D30"/>
    <w:rsid w:val="00D73F52"/>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AE0"/>
    <w:rsid w:val="00DA5BA7"/>
    <w:rsid w:val="00DA690D"/>
    <w:rsid w:val="00DA6C10"/>
    <w:rsid w:val="00DA70DD"/>
    <w:rsid w:val="00DA7855"/>
    <w:rsid w:val="00DA7AE0"/>
    <w:rsid w:val="00DB0749"/>
    <w:rsid w:val="00DB10DF"/>
    <w:rsid w:val="00DB25DF"/>
    <w:rsid w:val="00DB2669"/>
    <w:rsid w:val="00DB2CE7"/>
    <w:rsid w:val="00DB3732"/>
    <w:rsid w:val="00DB48DA"/>
    <w:rsid w:val="00DB51D2"/>
    <w:rsid w:val="00DB69CC"/>
    <w:rsid w:val="00DC04D8"/>
    <w:rsid w:val="00DC16C9"/>
    <w:rsid w:val="00DC1CB8"/>
    <w:rsid w:val="00DC2686"/>
    <w:rsid w:val="00DC3116"/>
    <w:rsid w:val="00DC37B1"/>
    <w:rsid w:val="00DC43C4"/>
    <w:rsid w:val="00DC4667"/>
    <w:rsid w:val="00DC5639"/>
    <w:rsid w:val="00DC5B14"/>
    <w:rsid w:val="00DC6096"/>
    <w:rsid w:val="00DC6566"/>
    <w:rsid w:val="00DC66A6"/>
    <w:rsid w:val="00DC6C1E"/>
    <w:rsid w:val="00DC6F1B"/>
    <w:rsid w:val="00DC700C"/>
    <w:rsid w:val="00DC71A5"/>
    <w:rsid w:val="00DC782B"/>
    <w:rsid w:val="00DC7E37"/>
    <w:rsid w:val="00DD06C2"/>
    <w:rsid w:val="00DD0B4A"/>
    <w:rsid w:val="00DD23B1"/>
    <w:rsid w:val="00DD3153"/>
    <w:rsid w:val="00DD349E"/>
    <w:rsid w:val="00DD431A"/>
    <w:rsid w:val="00DD5235"/>
    <w:rsid w:val="00DD572D"/>
    <w:rsid w:val="00DD776D"/>
    <w:rsid w:val="00DD7947"/>
    <w:rsid w:val="00DD7FFB"/>
    <w:rsid w:val="00DE023B"/>
    <w:rsid w:val="00DE040D"/>
    <w:rsid w:val="00DE0C34"/>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FAB"/>
    <w:rsid w:val="00DF014F"/>
    <w:rsid w:val="00DF0E29"/>
    <w:rsid w:val="00DF1B57"/>
    <w:rsid w:val="00DF1C91"/>
    <w:rsid w:val="00DF1EFF"/>
    <w:rsid w:val="00DF3175"/>
    <w:rsid w:val="00DF4227"/>
    <w:rsid w:val="00DF4B37"/>
    <w:rsid w:val="00DF4C4D"/>
    <w:rsid w:val="00DF5512"/>
    <w:rsid w:val="00DF55AD"/>
    <w:rsid w:val="00DF5681"/>
    <w:rsid w:val="00DF68BE"/>
    <w:rsid w:val="00DF6C49"/>
    <w:rsid w:val="00DF7755"/>
    <w:rsid w:val="00E0036A"/>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21C5"/>
    <w:rsid w:val="00E131AD"/>
    <w:rsid w:val="00E136C2"/>
    <w:rsid w:val="00E13FFE"/>
    <w:rsid w:val="00E1468B"/>
    <w:rsid w:val="00E14DC0"/>
    <w:rsid w:val="00E15545"/>
    <w:rsid w:val="00E15A05"/>
    <w:rsid w:val="00E15A7B"/>
    <w:rsid w:val="00E15C6D"/>
    <w:rsid w:val="00E15D71"/>
    <w:rsid w:val="00E16FAE"/>
    <w:rsid w:val="00E1712A"/>
    <w:rsid w:val="00E1756F"/>
    <w:rsid w:val="00E20570"/>
    <w:rsid w:val="00E21120"/>
    <w:rsid w:val="00E21856"/>
    <w:rsid w:val="00E2223B"/>
    <w:rsid w:val="00E2293B"/>
    <w:rsid w:val="00E237E2"/>
    <w:rsid w:val="00E24000"/>
    <w:rsid w:val="00E24223"/>
    <w:rsid w:val="00E24574"/>
    <w:rsid w:val="00E2459C"/>
    <w:rsid w:val="00E24809"/>
    <w:rsid w:val="00E25A68"/>
    <w:rsid w:val="00E26494"/>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4945"/>
    <w:rsid w:val="00E455F3"/>
    <w:rsid w:val="00E4567A"/>
    <w:rsid w:val="00E45C33"/>
    <w:rsid w:val="00E45D8B"/>
    <w:rsid w:val="00E462C1"/>
    <w:rsid w:val="00E46314"/>
    <w:rsid w:val="00E47252"/>
    <w:rsid w:val="00E47722"/>
    <w:rsid w:val="00E47A10"/>
    <w:rsid w:val="00E5009E"/>
    <w:rsid w:val="00E51C36"/>
    <w:rsid w:val="00E52823"/>
    <w:rsid w:val="00E52ED3"/>
    <w:rsid w:val="00E53F30"/>
    <w:rsid w:val="00E53FEC"/>
    <w:rsid w:val="00E5460F"/>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710C"/>
    <w:rsid w:val="00E70299"/>
    <w:rsid w:val="00E704F4"/>
    <w:rsid w:val="00E7084B"/>
    <w:rsid w:val="00E7117C"/>
    <w:rsid w:val="00E71C38"/>
    <w:rsid w:val="00E738FE"/>
    <w:rsid w:val="00E74B5F"/>
    <w:rsid w:val="00E74BF4"/>
    <w:rsid w:val="00E752D1"/>
    <w:rsid w:val="00E75417"/>
    <w:rsid w:val="00E75C3E"/>
    <w:rsid w:val="00E75F85"/>
    <w:rsid w:val="00E766DB"/>
    <w:rsid w:val="00E76E0C"/>
    <w:rsid w:val="00E77BBB"/>
    <w:rsid w:val="00E77DA4"/>
    <w:rsid w:val="00E80B6A"/>
    <w:rsid w:val="00E814B2"/>
    <w:rsid w:val="00E81E3E"/>
    <w:rsid w:val="00E83024"/>
    <w:rsid w:val="00E83879"/>
    <w:rsid w:val="00E83B5A"/>
    <w:rsid w:val="00E8417C"/>
    <w:rsid w:val="00E844B0"/>
    <w:rsid w:val="00E85631"/>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DA"/>
    <w:rsid w:val="00ED29F0"/>
    <w:rsid w:val="00ED433F"/>
    <w:rsid w:val="00ED48D4"/>
    <w:rsid w:val="00ED4F8C"/>
    <w:rsid w:val="00ED5F16"/>
    <w:rsid w:val="00ED6474"/>
    <w:rsid w:val="00ED6996"/>
    <w:rsid w:val="00ED76FC"/>
    <w:rsid w:val="00ED7E92"/>
    <w:rsid w:val="00EE0031"/>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91"/>
    <w:rsid w:val="00EF3166"/>
    <w:rsid w:val="00EF3975"/>
    <w:rsid w:val="00EF3DB5"/>
    <w:rsid w:val="00EF535E"/>
    <w:rsid w:val="00EF62D5"/>
    <w:rsid w:val="00EF760B"/>
    <w:rsid w:val="00EF7A43"/>
    <w:rsid w:val="00EF7B86"/>
    <w:rsid w:val="00F00E8C"/>
    <w:rsid w:val="00F01646"/>
    <w:rsid w:val="00F027F6"/>
    <w:rsid w:val="00F02CED"/>
    <w:rsid w:val="00F03530"/>
    <w:rsid w:val="00F03688"/>
    <w:rsid w:val="00F0384B"/>
    <w:rsid w:val="00F03B59"/>
    <w:rsid w:val="00F042C6"/>
    <w:rsid w:val="00F050A0"/>
    <w:rsid w:val="00F05A10"/>
    <w:rsid w:val="00F076FB"/>
    <w:rsid w:val="00F102E6"/>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03C"/>
    <w:rsid w:val="00F20FFB"/>
    <w:rsid w:val="00F220D8"/>
    <w:rsid w:val="00F22545"/>
    <w:rsid w:val="00F22D74"/>
    <w:rsid w:val="00F23E99"/>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37D2"/>
    <w:rsid w:val="00F53E38"/>
    <w:rsid w:val="00F54B8F"/>
    <w:rsid w:val="00F54DC7"/>
    <w:rsid w:val="00F56277"/>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80646"/>
    <w:rsid w:val="00F817C5"/>
    <w:rsid w:val="00F8192D"/>
    <w:rsid w:val="00F82E2B"/>
    <w:rsid w:val="00F82E2D"/>
    <w:rsid w:val="00F84077"/>
    <w:rsid w:val="00F84B31"/>
    <w:rsid w:val="00F84E76"/>
    <w:rsid w:val="00F862C3"/>
    <w:rsid w:val="00F86A65"/>
    <w:rsid w:val="00F8761F"/>
    <w:rsid w:val="00F900DB"/>
    <w:rsid w:val="00F90132"/>
    <w:rsid w:val="00F90618"/>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5E26"/>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5379"/>
    <w:rsid w:val="00FC539F"/>
    <w:rsid w:val="00FC5A80"/>
    <w:rsid w:val="00FC5BC4"/>
    <w:rsid w:val="00FC6B7D"/>
    <w:rsid w:val="00FC7462"/>
    <w:rsid w:val="00FC7F1B"/>
    <w:rsid w:val="00FC7F2A"/>
    <w:rsid w:val="00FD0A21"/>
    <w:rsid w:val="00FD120E"/>
    <w:rsid w:val="00FD1978"/>
    <w:rsid w:val="00FD1E58"/>
    <w:rsid w:val="00FD29B6"/>
    <w:rsid w:val="00FD3CD7"/>
    <w:rsid w:val="00FD3DE3"/>
    <w:rsid w:val="00FD3FA7"/>
    <w:rsid w:val="00FD42F5"/>
    <w:rsid w:val="00FD48D4"/>
    <w:rsid w:val="00FD4FFB"/>
    <w:rsid w:val="00FD510D"/>
    <w:rsid w:val="00FD6D92"/>
    <w:rsid w:val="00FD7077"/>
    <w:rsid w:val="00FD7DFE"/>
    <w:rsid w:val="00FE037A"/>
    <w:rsid w:val="00FE03F1"/>
    <w:rsid w:val="00FE0A2B"/>
    <w:rsid w:val="00FE0B56"/>
    <w:rsid w:val="00FE1001"/>
    <w:rsid w:val="00FE1BC7"/>
    <w:rsid w:val="00FE3E83"/>
    <w:rsid w:val="00FE484D"/>
    <w:rsid w:val="00FE4ACC"/>
    <w:rsid w:val="00FE5D2A"/>
    <w:rsid w:val="00FE6106"/>
    <w:rsid w:val="00FE6557"/>
    <w:rsid w:val="00FE673D"/>
    <w:rsid w:val="00FE6D9A"/>
    <w:rsid w:val="00FE6E5D"/>
    <w:rsid w:val="00FE7735"/>
    <w:rsid w:val="00FE7F96"/>
    <w:rsid w:val="00FF0546"/>
    <w:rsid w:val="00FF09C6"/>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 w:type="character" w:customStyle="1" w:styleId="e24kjd">
    <w:name w:val="e24kjd"/>
    <w:basedOn w:val="Absatz-Standardschriftart"/>
    <w:rsid w:val="00E1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0072620">
      <w:bodyDiv w:val="1"/>
      <w:marLeft w:val="0"/>
      <w:marRight w:val="0"/>
      <w:marTop w:val="0"/>
      <w:marBottom w:val="0"/>
      <w:divBdr>
        <w:top w:val="none" w:sz="0" w:space="0" w:color="auto"/>
        <w:left w:val="none" w:sz="0" w:space="0" w:color="auto"/>
        <w:bottom w:val="none" w:sz="0" w:space="0" w:color="auto"/>
        <w:right w:val="none" w:sz="0" w:space="0" w:color="auto"/>
      </w:divBdr>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Knallk%C3%B6rp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DBA3-3F0C-4047-A400-03B1D6376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3640</Words>
  <Characters>22937</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26524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9</cp:revision>
  <cp:lastPrinted>2020-06-20T14:21:00Z</cp:lastPrinted>
  <dcterms:created xsi:type="dcterms:W3CDTF">2020-07-09T08:24:00Z</dcterms:created>
  <dcterms:modified xsi:type="dcterms:W3CDTF">2020-07-11T05:29:00Z</dcterms:modified>
</cp:coreProperties>
</file>